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w:hAnsi="Times" w:cs="Times" w:eastAsia="Times"/>
          <w:color w:val="5E5E5E"/>
          <w:spacing w:val="0"/>
          <w:position w:val="0"/>
          <w:sz w:val="24"/>
          <w:shd w:fill="FFFFFF"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FFFFFF"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Efficacy of Naltrexone for People with Opioid Use Disorders: </w:t>
        <w:br/>
        <w:t xml:space="preserve">A Systematic Review of Treatment Outcomes</w:t>
      </w:r>
    </w:p>
    <w:p>
      <w:pPr>
        <w:spacing w:before="0" w:after="0" w:line="480"/>
        <w:ind w:right="0" w:left="0" w:firstLine="720"/>
        <w:jc w:val="center"/>
        <w:rPr>
          <w:rFonts w:ascii="Times New Roman" w:hAnsi="Times New Roman" w:cs="Times New Roman" w:eastAsia="Times New Roman"/>
          <w:color w:val="auto"/>
          <w:spacing w:val="0"/>
          <w:position w:val="0"/>
          <w:sz w:val="24"/>
          <w:shd w:fill="FFFFFF" w:val="clear"/>
        </w:rPr>
      </w:pPr>
    </w:p>
    <w:p>
      <w:pPr>
        <w:spacing w:before="0" w:after="0" w:line="480"/>
        <w:ind w:right="0" w:left="0" w:firstLine="720"/>
        <w:jc w:val="center"/>
        <w:rPr>
          <w:rFonts w:ascii="Times New Roman" w:hAnsi="Times New Roman" w:cs="Times New Roman" w:eastAsia="Times New Roman"/>
          <w:color w:val="auto"/>
          <w:spacing w:val="0"/>
          <w:position w:val="0"/>
          <w:sz w:val="24"/>
          <w:shd w:fill="FFFFFF" w:val="clear"/>
        </w:rPr>
      </w:pPr>
    </w:p>
    <w:p>
      <w:pPr>
        <w:spacing w:before="0" w:after="0" w:line="480"/>
        <w:ind w:right="0" w:left="0" w:firstLine="720"/>
        <w:jc w:val="center"/>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720"/>
        <w:jc w:val="left"/>
        <w:rPr>
          <w:rFonts w:ascii="Times New Roman" w:hAnsi="Times New Roman" w:cs="Times New Roman" w:eastAsia="Times New Roman"/>
          <w:color w:val="5E5E5E"/>
          <w:spacing w:val="0"/>
          <w:position w:val="0"/>
          <w:sz w:val="24"/>
          <w:shd w:fill="FFFFFF"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FFFFFF"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Abstract</w:t>
      </w: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t xml:space="preserve">The purpose of this study was to critically review the relevant literature to identify and examine the most salient outcomes associated with Implant (IMP) and Non-Implant (Non-IMP) naltrexone (NTX). The most notable treatment outcome variables were opioid abstinence, treatment retention, cravings, and adverse events. A systematic database and literature review (2008-2018) was conducted using terms for naltrexone and treatment outcomes. Following the scope of studies, 13 articles were included in the review. Robust evidence was found to conclude that both IMP and Non-IMP NTX yields increases in positive outcomes associated with the aforementioned treatment outcomes, aside from adverse events, which yielded inconclusive evidence. The term “positive outcomes” refers to increases in lengths and rates of abstinence from opioids, increased lengths of time participants were retained in treatment, and reductions in reports of opioid cravings. No significant difference was ascertained between IMP and Non-IMP NTX in terms of the outcomes highlighted in this review. For substance abuse counselors and other rehabilitation professionals, NTX may be an effective intervention for people with opioid addiction who are newly in treatment, have detoxed from treatment, and/or want to sustain positive treatment outcomes such as those explored in this study. The results of this review are also suggestive of the utility of using NTX in combination with other therapies. They also highlight the importance of implementing an appropriate treatment approach when providing services for people with opioid addiction. </w:t>
      </w: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r>
      <w:r>
        <w:rPr>
          <w:rFonts w:ascii="Times New Roman" w:hAnsi="Times New Roman" w:cs="Times New Roman" w:eastAsia="Times New Roman"/>
          <w:i/>
          <w:color w:val="auto"/>
          <w:spacing w:val="0"/>
          <w:position w:val="0"/>
          <w:sz w:val="24"/>
          <w:shd w:fill="FFFFFF" w:val="clear"/>
        </w:rPr>
        <w:t xml:space="preserve">Key Words: </w:t>
      </w:r>
      <w:r>
        <w:rPr>
          <w:rFonts w:ascii="Times New Roman" w:hAnsi="Times New Roman" w:cs="Times New Roman" w:eastAsia="Times New Roman"/>
          <w:color w:val="auto"/>
          <w:spacing w:val="0"/>
          <w:position w:val="0"/>
          <w:sz w:val="24"/>
          <w:shd w:fill="FFFFFF" w:val="clear"/>
        </w:rPr>
        <w:t xml:space="preserve">naltrexone, Vivitrol, treatment outcomes, abstinence, retention, craving, adverse events, opioids, opiates, heroin</w:t>
        <w:t xml:space="preserve"> </w:t>
      </w:r>
    </w:p>
    <w:p>
      <w:pPr>
        <w:spacing w:before="0" w:after="0" w:line="480"/>
        <w:ind w:right="0" w:left="0" w:firstLine="0"/>
        <w:jc w:val="left"/>
        <w:rPr>
          <w:rFonts w:ascii="Times New Roman" w:hAnsi="Times New Roman" w:cs="Times New Roman" w:eastAsia="Times New Roman"/>
          <w:color w:val="auto"/>
          <w:spacing w:val="0"/>
          <w:position w:val="0"/>
          <w:sz w:val="24"/>
          <w:shd w:fill="FFFFFF"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Efficacy of Naltrexone for People with Opioid Use Disorders: </w:t>
        <w:br/>
        <w:t xml:space="preserve">A Systematic Review of Treatment Outcomes</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Opioid dependence is a potentially life-threatening illness associated with adverse societal effects including increased morbidity and mortality, poor social functioning, economic dependence, and crime (Larney et al., 2014). Due to their effect on the part of the brain which regulates breathing, opioids in high doses can cause an overdose resulting in respiratory depression and death (World Health Organization, 2014). Drug overdose is the leading cause of accidental death in the US, with 52,404 lethal drug overdoses in 2015 (American Society of Addiction Medicine [ASAM], 2015). The ASAM also found that opioid addiction is driving this epidemic, with 20,101 overdose deaths related to prescription pain relievers, and 12,990 overdose deaths related to heroin in 2015. From 2002 to 2015 there was a 2.8-fold increase in the total number of deaths involving opioid drugs in the US (National Institute on Drug Abuse [NIDA], 2017). Within this same time period, NIDA reported a 6.2-fold increase in the total number of deaths involving heroin in the US. Opioid dependence is considered to be a lifelong, chronic relapsing disorder, and substantial therapeutic efforts are needed to keep people drug free (Minozzi et al., 2011). The terms “opiate” and “opiate” have been used interchangeably in this review.</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Medication-Assisted Therapy (MAT) has been associated with improved retention and decreased relapse rates (Saunders et al., 2015). Types of MATs are Food and Drug Administration (FDA)-approved medications, including methadone, buprenorphine, and NTX for the treatment of opioid addiction. NTX is a long-acting, non-selective opioid antagonist that blocks the euphoric and analgesic effects of opioids (Larney et al., 2014; Minozzi et al., 2011). NTX is best suited for scenarios that require prolonged antagonism, e.g. assisting abstinence from opioid agonists following detoxification and/or reducing addiction-related craving (Kunøe, Lobmaier, Ngo, &amp; Hulse, 2014). According to Larney et al. (2014), NTX has been investigated for use in treating opioid dependence under the rationale that motivation to use opioids will be reduced if a person is unable to experience their pleasurable effects. </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NTX implants are used to treat opioid dependence, but their safety and efficacy remain poorly understood. Both IMP and Non-IMP forms of NTX have been included in this review. IMP denotes the small medication pellet that gets surgically inserted under the skin for varying lengths of time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usually from two to six months. While it has been used in Europe and Australia, the IMP version of NTX has not yet been approved by the FDA for use in the U.S. Non-IMP denotes the injectable and oral forms of the medication. (Larney et al., 2014). Extended-release naltrexone (XR-NTX) has been increasingly examined in the literature. It is a long-acting injectable form of NTX with a 30 day duration of action that has been found to have a higher treatment adherence rate than oral tablet naltrexone (Cousins et al., 2016).</w:t>
      </w:r>
      <w:r>
        <w:rPr>
          <w:rFonts w:ascii="Times New Roman" w:hAnsi="Times New Roman" w:cs="Times New Roman" w:eastAsia="Times New Roman"/>
          <w:color w:val="auto"/>
          <w:spacing w:val="0"/>
          <w:position w:val="0"/>
          <w:sz w:val="24"/>
          <w:shd w:fill="auto" w:val="clear"/>
        </w:rPr>
        <w:t xml:space="preserve"> Minozzi et al. (2011) provided that </w:t>
      </w:r>
      <w:r>
        <w:rPr>
          <w:rFonts w:ascii="Times New Roman" w:hAnsi="Times New Roman" w:cs="Times New Roman" w:eastAsia="Times New Roman"/>
          <w:color w:val="000000"/>
          <w:spacing w:val="0"/>
          <w:position w:val="0"/>
          <w:sz w:val="24"/>
          <w:shd w:fill="FFFFFF" w:val="clear"/>
        </w:rPr>
        <w:t xml:space="preserve">oral naltrexone is approved for relapse prevention of opioid dependence in several countries, including the U.S. A daily ingested dose of 50mg sufficiently blocks the effect of opioids to prevent relapse (Minozzi et al., 2011).</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Treatment outcomes that have been identified and defined in a number of ways in the literature. Outcomes that have been considered for this systematic review of literature included mortality (Kelty &amp; Hulse, 2012), treatment retention (Cousins et al., 2016; Krupitsky et al., 2011), opioid abstinence (Colquhoun, 2013; Krupitsky et al., 2011; Kunøe et al., 2014), relapse rates (Krupitsky et al., 2011; Minozzi et al., 2011), concomitant substance use (Kunøe et al., 2014), urges to use (Cousins et al., 2016), re-incarceration rates (Minozzi et al., 2011), and rates of follow-up care attendance (Leslie et al., 2015). </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Successful treatment is associated with abstinence (Leslie et al., 2015). Abstinence refers to an individual’s ability to remain opiate-free, most often evidenced by urinalysis. Opioid abstinence may be a prerequisite for certain treatment programs. It has also been examined in various follow-up examinations (Krupitsky et al., 2011; Lee et al., 2015; Mannelli et al., 2009; Minozzi et al., 2011) Opioid abstinence rates have been found to be higher in XR-NTX than in the oral form (Cousins et al., 2016).</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Treatment retention describes a patient’s tendency to remain in treatment. Leslie et al. (2015) have identified patient retention in treatment as a critical predictor of success, and claimed that it can be greater in medication-assisted programs. While MAT has been found to be effective in reducing mortality, morbidity and drug-related criminal activity, chief concerns are dropout during the initial months of treatment and that only a minority of patients are able to achieve normal vocational and social functioning (Kunøe et al., 2014). Mannelli et al. (2009) claimed that the length of inpatient stay post-detoxification is more important in promoting longer-term abstinence than any specific detoxification procedure.</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Part of the nature of addictive substances, including opioids, is that they result in cravings to use. Craving is examined as a self-report measure. The word “craving” has been used synonymously with “urge to use” in the literature.  Naltrexone has long been known to cause a reduction in craving sensation for many types of addictive substances (Kunøe et al., 2014). Positive outcome measures include reductions in self-reports of cravings. Various scales have been used to assess this measure (Cousins et al., 2016; Krupitsky et al., 2013; Krupitsky et al., 2011; Mannelli et al., 2009). </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Mortality describes the rate of death in a population. Opioid dependence is a major public health concern because of increased morbidity and mortality (Krupitsky et al., 2013). Minozzi et al. (2011) have purported that there is a lack of mortality data related to oral NTX. Other studies have been found to have limitations in mortality data for IMP as well (Larney et al., 2014). Ngo, Tait, and Hulse (2008) and Kunøe et al. (2014) found there to be a non-negligible mortality risk during treatment induction. This highlights the importance of implementing effective treatment interventions as soon as a person is admitted to a program.</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A diverse range of variables relevant to the impact of naltrexone on treatment outcomes have been examined in the literature including injected (INJ) extended-release naltrexone (XR-NTX) versus non-injected (non-INJ) XR-NTX (Leslie et al., 2015), heroin versus prescription opioid use (Cousins et al., 2016), gender (Kelty &amp; Hulse, 2012), and other patient characteristics (Cousins et al., 2016). </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The purpose of this study was to systematically examine the efficacy of implementing NTX as a treatment method for opioid dependence. The following research questions were used to guide the analysis of this study:</w:t>
      </w:r>
    </w:p>
    <w:p>
      <w:pPr>
        <w:numPr>
          <w:ilvl w:val="0"/>
          <w:numId w:val="8"/>
        </w:numPr>
        <w:spacing w:before="0" w:after="0" w:line="480"/>
        <w:ind w:right="0" w:left="144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What impact does NTX have on the treatment outcomes for people with opioid use disorders?</w:t>
      </w:r>
    </w:p>
    <w:p>
      <w:pPr>
        <w:numPr>
          <w:ilvl w:val="0"/>
          <w:numId w:val="8"/>
        </w:numPr>
        <w:spacing w:before="0" w:after="0" w:line="480"/>
        <w:ind w:right="0" w:left="1440" w:hanging="36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How does IMP-NTX compare to Non-IMP-NTX across the same treatment outcomes? </w:t>
      </w:r>
    </w:p>
    <w:p>
      <w:pPr>
        <w:spacing w:before="0" w:after="0" w:line="48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Method</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Article Selection Procedure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Various online databases were primarily used in the research process of the understanding of the impact of NTX on treatment outcomes for people with opioid use disorders and its efficacy compared to other MATs. The Rehabilitation Reference Center, CINAHL Plus with Full Text, MEDLINE, Academic Search Premier, PsycINFO, and Google Scholar databases were searched with key terms. These terms included the combination of </w:t>
      </w:r>
      <w:r>
        <w:rPr>
          <w:rFonts w:ascii="Times New Roman" w:hAnsi="Times New Roman" w:cs="Times New Roman" w:eastAsia="Times New Roman"/>
          <w:i/>
          <w:color w:val="auto"/>
          <w:spacing w:val="0"/>
          <w:position w:val="0"/>
          <w:sz w:val="24"/>
          <w:shd w:fill="auto" w:val="clear"/>
        </w:rPr>
        <w:t xml:space="preserve">naltrexone, impact, </w:t>
      </w:r>
      <w:r>
        <w:rPr>
          <w:rFonts w:ascii="Times New Roman" w:hAnsi="Times New Roman" w:cs="Times New Roman" w:eastAsia="Times New Roman"/>
          <w:color w:val="auto"/>
          <w:spacing w:val="0"/>
          <w:position w:val="0"/>
          <w:sz w:val="24"/>
          <w:shd w:fill="auto" w:val="clear"/>
        </w:rPr>
        <w:t xml:space="preserve">and</w:t>
      </w:r>
      <w:r>
        <w:rPr>
          <w:rFonts w:ascii="Times New Roman" w:hAnsi="Times New Roman" w:cs="Times New Roman" w:eastAsia="Times New Roman"/>
          <w:i/>
          <w:color w:val="auto"/>
          <w:spacing w:val="0"/>
          <w:position w:val="0"/>
          <w:sz w:val="24"/>
          <w:shd w:fill="auto" w:val="clear"/>
        </w:rPr>
        <w:t xml:space="preserve"> opioid use disorder </w:t>
      </w:r>
      <w:r>
        <w:rPr>
          <w:rFonts w:ascii="Times New Roman" w:hAnsi="Times New Roman" w:cs="Times New Roman" w:eastAsia="Times New Roman"/>
          <w:color w:val="auto"/>
          <w:spacing w:val="0"/>
          <w:position w:val="0"/>
          <w:sz w:val="24"/>
          <w:shd w:fill="auto" w:val="clear"/>
        </w:rPr>
        <w:t xml:space="preserve">using </w:t>
      </w:r>
      <w:r>
        <w:rPr>
          <w:rFonts w:ascii="Times New Roman" w:hAnsi="Times New Roman" w:cs="Times New Roman" w:eastAsia="Times New Roman"/>
          <w:i/>
          <w:color w:val="auto"/>
          <w:spacing w:val="0"/>
          <w:position w:val="0"/>
          <w:sz w:val="24"/>
          <w:shd w:fill="auto" w:val="clear"/>
        </w:rPr>
        <w:t xml:space="preserve">and </w:t>
      </w:r>
      <w:r>
        <w:rPr>
          <w:rFonts w:ascii="Times New Roman" w:hAnsi="Times New Roman" w:cs="Times New Roman" w:eastAsia="Times New Roman"/>
          <w:color w:val="auto"/>
          <w:spacing w:val="0"/>
          <w:position w:val="0"/>
          <w:sz w:val="24"/>
          <w:shd w:fill="auto" w:val="clear"/>
        </w:rPr>
        <w:t xml:space="preserve">as a connector word. </w:t>
      </w:r>
      <w:r>
        <w:rPr>
          <w:rFonts w:ascii="Times New Roman" w:hAnsi="Times New Roman" w:cs="Times New Roman" w:eastAsia="Times New Roman"/>
          <w:i/>
          <w:color w:val="auto"/>
          <w:spacing w:val="0"/>
          <w:position w:val="0"/>
          <w:sz w:val="24"/>
          <w:shd w:fill="auto" w:val="clear"/>
        </w:rPr>
        <w:t xml:space="preserve">Treatment outcomes </w:t>
      </w:r>
      <w:r>
        <w:rPr>
          <w:rFonts w:ascii="Times New Roman" w:hAnsi="Times New Roman" w:cs="Times New Roman" w:eastAsia="Times New Roman"/>
          <w:color w:val="auto"/>
          <w:spacing w:val="0"/>
          <w:position w:val="0"/>
          <w:sz w:val="24"/>
          <w:shd w:fill="auto" w:val="clear"/>
        </w:rPr>
        <w:t xml:space="preserve">was then combined with the search in an effort to find articles that were indicative of the results of this MAT. </w:t>
      </w:r>
      <w:r>
        <w:rPr>
          <w:rFonts w:ascii="Times New Roman" w:hAnsi="Times New Roman" w:cs="Times New Roman" w:eastAsia="Times New Roman"/>
          <w:i/>
          <w:color w:val="auto"/>
          <w:spacing w:val="0"/>
          <w:position w:val="0"/>
          <w:sz w:val="24"/>
          <w:shd w:fill="auto" w:val="clear"/>
        </w:rPr>
        <w:t xml:space="preserve">Impact </w:t>
      </w:r>
      <w:r>
        <w:rPr>
          <w:rFonts w:ascii="Times New Roman" w:hAnsi="Times New Roman" w:cs="Times New Roman" w:eastAsia="Times New Roman"/>
          <w:color w:val="auto"/>
          <w:spacing w:val="0"/>
          <w:position w:val="0"/>
          <w:sz w:val="24"/>
          <w:shd w:fill="auto" w:val="clear"/>
        </w:rPr>
        <w:t xml:space="preserve">was used interchangeably with </w:t>
      </w:r>
      <w:r>
        <w:rPr>
          <w:rFonts w:ascii="Times New Roman" w:hAnsi="Times New Roman" w:cs="Times New Roman" w:eastAsia="Times New Roman"/>
          <w:i/>
          <w:color w:val="auto"/>
          <w:spacing w:val="0"/>
          <w:position w:val="0"/>
          <w:sz w:val="24"/>
          <w:shd w:fill="auto" w:val="clear"/>
        </w:rPr>
        <w:t xml:space="preserve">effect, naltrexone </w:t>
      </w:r>
      <w:r>
        <w:rPr>
          <w:rFonts w:ascii="Times New Roman" w:hAnsi="Times New Roman" w:cs="Times New Roman" w:eastAsia="Times New Roman"/>
          <w:color w:val="auto"/>
          <w:spacing w:val="0"/>
          <w:position w:val="0"/>
          <w:sz w:val="24"/>
          <w:shd w:fill="auto" w:val="clear"/>
        </w:rPr>
        <w:t xml:space="preserve">with </w:t>
      </w:r>
      <w:r>
        <w:rPr>
          <w:rFonts w:ascii="Times New Roman" w:hAnsi="Times New Roman" w:cs="Times New Roman" w:eastAsia="Times New Roman"/>
          <w:i/>
          <w:color w:val="auto"/>
          <w:spacing w:val="0"/>
          <w:position w:val="0"/>
          <w:sz w:val="24"/>
          <w:shd w:fill="auto" w:val="clear"/>
        </w:rPr>
        <w:t xml:space="preserve">Vivitrol,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opioid </w:t>
      </w:r>
      <w:r>
        <w:rPr>
          <w:rFonts w:ascii="Times New Roman" w:hAnsi="Times New Roman" w:cs="Times New Roman" w:eastAsia="Times New Roman"/>
          <w:color w:val="auto"/>
          <w:spacing w:val="0"/>
          <w:position w:val="0"/>
          <w:sz w:val="24"/>
          <w:shd w:fill="auto" w:val="clear"/>
        </w:rPr>
        <w:t xml:space="preserve">with </w:t>
      </w:r>
      <w:r>
        <w:rPr>
          <w:rFonts w:ascii="Times New Roman" w:hAnsi="Times New Roman" w:cs="Times New Roman" w:eastAsia="Times New Roman"/>
          <w:i/>
          <w:color w:val="auto"/>
          <w:spacing w:val="0"/>
          <w:position w:val="0"/>
          <w:sz w:val="24"/>
          <w:shd w:fill="auto" w:val="clear"/>
        </w:rPr>
        <w:t xml:space="preserve">opiate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to widen the range of search results with the hope to find pertinent articles that may have been overlooked because of the title. Bibliographies of the articles found through the search have also been used for additional reference. Reviews of literature were considered for use in the background section. This article selection process yielded 13 studies used in this review.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Inclusion Criteria</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Upon reviewing the titles and abstracts of the articles that were yielded by the search terms, the author included studies that met the following criteria: </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must have been published between the years 2008-2018.</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must have been written in the English language.</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must have been published in a peer-reviewed journal. </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must have been based in quantitative research methods.</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must have included participants over the age of 18 years.</w:t>
      </w:r>
    </w:p>
    <w:p>
      <w:pPr>
        <w:numPr>
          <w:ilvl w:val="0"/>
          <w:numId w:val="12"/>
        </w:numPr>
        <w:spacing w:before="0" w:after="0" w:line="48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Participants must have been diagnosed with opioid use disorder.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Comprehensive reviews of electronic articles have been incorporated to provide insight to the background of NTX as a treatment modality.</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Scope of Studies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Numerous researchers have examined the efficacy of NTX in improving the treatment outcomes associated with having an opioid use disorder. Thirteen pertinent research articles have been selected for this review. Some of the outcomes that emerged were examined in studies of both IMP and Non-IMP-NTX. Because abstinence is arguably the most desirable treatment outcome when it comes to opioid use disorder treatment, disproportionately more articles have been included to showcase the impact of NTX has on it. Several studies are based on examinations of the effects of NTX on treatment retention, most-notably as it relates attendance and participation in a substance abuse treatment modality. Cravings has been analyzed as its own measure in addiction treatment programs and as a factor of NTX outcomes. Mortality and overdose rates have also been explored as outcome of this MAT and grouped under the category of adverse events for the purpose of this review. The number of studies included in this review varies depending on the treatment outcome associated with the efficacy of NTX. There were instances wherein certain studies were examined across multiple outcome domains and for both IMP- and Non-IMP-NTX.</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Non-Implant Naltrexone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Ten studies were located wherein the authors explored the treatment outcomes associated with Non-IMP versions of NTX including either injections or oral treatments.</w:t>
      </w:r>
    </w:p>
    <w:p>
      <w:pPr>
        <w:spacing w:before="0" w:after="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Opioid abstinence. </w:t>
      </w:r>
      <w:r>
        <w:rPr>
          <w:rFonts w:ascii="Times New Roman" w:hAnsi="Times New Roman" w:cs="Times New Roman" w:eastAsia="Times New Roman"/>
          <w:color w:val="auto"/>
          <w:spacing w:val="0"/>
          <w:position w:val="0"/>
          <w:sz w:val="24"/>
          <w:shd w:fill="auto" w:val="clear"/>
        </w:rPr>
        <w:t xml:space="preserve">Seven studies were located in which researchers examined the effect of Non-IMP-NTX on abstinence from opioid drugs (Coviello et al., 2012; Hulse, Morris, Arnold-Reed, &amp; Tait, 2015; Krupitsky et al., 2013; Krupitsky et al., 2011; Lee et al., 2015; Mannelli et al., 2009; Sajid et al., 2016). Researchers who examined the effects of Non-IMP-NTX on opioid abstinence have published studies in the following academic and professional journals: </w:t>
      </w:r>
      <w:r>
        <w:rPr>
          <w:rFonts w:ascii="Times New Roman" w:hAnsi="Times New Roman" w:cs="Times New Roman" w:eastAsia="Times New Roman"/>
          <w:i/>
          <w:color w:val="auto"/>
          <w:spacing w:val="0"/>
          <w:position w:val="0"/>
          <w:sz w:val="24"/>
          <w:shd w:fill="auto" w:val="clear"/>
        </w:rPr>
        <w:t xml:space="preserve">Substance Abuse, Archives of General Psychiatry, The Lancet, Addiction,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American Journal on Addictions.</w:t>
      </w:r>
    </w:p>
    <w:p>
      <w:pPr>
        <w:spacing w:before="0" w:after="0" w:line="480"/>
        <w:ind w:right="0" w:left="0" w:firstLine="72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Treatment retention. </w:t>
      </w:r>
      <w:r>
        <w:rPr>
          <w:rFonts w:ascii="Times New Roman" w:hAnsi="Times New Roman" w:cs="Times New Roman" w:eastAsia="Times New Roman"/>
          <w:color w:val="auto"/>
          <w:spacing w:val="0"/>
          <w:position w:val="0"/>
          <w:sz w:val="24"/>
          <w:shd w:fill="auto" w:val="clear"/>
        </w:rPr>
        <w:t xml:space="preserve">Five studies were located in which researchers examined the effect of Non-IMP-NTX on treatment retention (Cousins et al., 2016; Coviello et al., 2012; Krupitsky et al., 2013; Krupitsky et al., 2011; Leslie et al., 2015). Researchers who examined the effects of Non-IMP-NTX on treatment retention have published studies in the following academic and professional journals: </w:t>
      </w:r>
      <w:r>
        <w:rPr>
          <w:rFonts w:ascii="Times New Roman" w:hAnsi="Times New Roman" w:cs="Times New Roman" w:eastAsia="Times New Roman"/>
          <w:i/>
          <w:color w:val="auto"/>
          <w:spacing w:val="0"/>
          <w:position w:val="0"/>
          <w:sz w:val="24"/>
          <w:shd w:fill="auto" w:val="clear"/>
        </w:rPr>
        <w:t xml:space="preserve">Journal of Substance Abuse Treatment, American Journal on Addictions, The Lancet,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Addiction.  </w:t>
      </w:r>
    </w:p>
    <w:p>
      <w:pPr>
        <w:spacing w:before="0" w:after="0" w:line="480"/>
        <w:ind w:right="0" w:left="0" w:firstLine="72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Cravings. </w:t>
      </w:r>
      <w:r>
        <w:rPr>
          <w:rFonts w:ascii="Times New Roman" w:hAnsi="Times New Roman" w:cs="Times New Roman" w:eastAsia="Times New Roman"/>
          <w:color w:val="auto"/>
          <w:spacing w:val="0"/>
          <w:position w:val="0"/>
          <w:sz w:val="24"/>
          <w:shd w:fill="auto" w:val="clear"/>
        </w:rPr>
        <w:t xml:space="preserve">Four studies were located in which researchers examined the effect of non-IMP-NTX on cravings, or urge to use opiates (Cousins et al., 2016; Krupitsky et al., 2013; Krupitsky et al., 2011; Mannelli et al., 2009). Researchers who examined the effects of Non-IMP-NTX on cravings have published studies in the following academic and professional journals: </w:t>
      </w:r>
      <w:r>
        <w:rPr>
          <w:rFonts w:ascii="Times New Roman" w:hAnsi="Times New Roman" w:cs="Times New Roman" w:eastAsia="Times New Roman"/>
          <w:i/>
          <w:color w:val="auto"/>
          <w:spacing w:val="0"/>
          <w:position w:val="0"/>
          <w:sz w:val="24"/>
          <w:shd w:fill="auto" w:val="clear"/>
        </w:rPr>
        <w:t xml:space="preserve">Journal of Substance Abuse Treatment, American Journal on Addictions, The Lancet,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Addiction.   </w:t>
      </w:r>
    </w:p>
    <w:p>
      <w:pPr>
        <w:spacing w:before="0" w:after="0" w:line="480"/>
        <w:ind w:right="0" w:left="0" w:firstLine="72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Adverse events. </w:t>
      </w:r>
      <w:r>
        <w:rPr>
          <w:rFonts w:ascii="Times New Roman" w:hAnsi="Times New Roman" w:cs="Times New Roman" w:eastAsia="Times New Roman"/>
          <w:color w:val="auto"/>
          <w:spacing w:val="0"/>
          <w:position w:val="0"/>
          <w:sz w:val="24"/>
          <w:shd w:fill="auto" w:val="clear"/>
        </w:rPr>
        <w:t xml:space="preserve">Two studies were located in which researchers examined the effect of Non-IMP-NTX on adverse events including fatal and non-fatal overdoses and mortalities (Kelty &amp; Hulse, 2012; Lee et al., 2015). Researchers who examined the effects of Non-IMP-NTX on opioid abstinence have published studies in the following academic and professional journal: </w:t>
      </w:r>
      <w:r>
        <w:rPr>
          <w:rFonts w:ascii="Times New Roman" w:hAnsi="Times New Roman" w:cs="Times New Roman" w:eastAsia="Times New Roman"/>
          <w:i/>
          <w:color w:val="auto"/>
          <w:spacing w:val="0"/>
          <w:position w:val="0"/>
          <w:sz w:val="24"/>
          <w:shd w:fill="auto" w:val="clear"/>
        </w:rPr>
        <w:t xml:space="preserve">Addiction.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Implant Naltrexone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Six studies were located wherein the authors explored the treatment outcomes associated with the implantable version of NTX.</w:t>
      </w:r>
    </w:p>
    <w:p>
      <w:pPr>
        <w:spacing w:before="0" w:after="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Opioid abstinence. </w:t>
      </w:r>
      <w:r>
        <w:rPr>
          <w:rFonts w:ascii="Times New Roman" w:hAnsi="Times New Roman" w:cs="Times New Roman" w:eastAsia="Times New Roman"/>
          <w:color w:val="auto"/>
          <w:spacing w:val="0"/>
          <w:position w:val="0"/>
          <w:sz w:val="24"/>
          <w:shd w:fill="auto" w:val="clear"/>
        </w:rPr>
        <w:t xml:space="preserve">Four studies were located in which researchers examined the effect of IMP-NTX on abstinence from opioid drugs (Colquhoun, 2013; Hulse et al., 2015; Larney et al., 2014; Lobmaier, Kunøe, Gossop, Katevoll, &amp; Waal, 2010). Researchers who examined the effects of IMP-NTX on opioid abstinence have published studies in the following academic and professional journals: </w:t>
      </w:r>
      <w:r>
        <w:rPr>
          <w:rFonts w:ascii="Times New Roman" w:hAnsi="Times New Roman" w:cs="Times New Roman" w:eastAsia="Times New Roman"/>
          <w:i/>
          <w:color w:val="auto"/>
          <w:spacing w:val="0"/>
          <w:position w:val="0"/>
          <w:sz w:val="24"/>
          <w:shd w:fill="auto" w:val="clear"/>
        </w:rPr>
        <w:t xml:space="preserve">Substance Abuse: Research and Treatment, Archives of General Psychiatry,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Drug and Alcohol Review,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European Addiction Research. </w:t>
      </w:r>
    </w:p>
    <w:p>
      <w:pPr>
        <w:spacing w:before="0" w:after="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Treatment retention. </w:t>
      </w:r>
      <w:r>
        <w:rPr>
          <w:rFonts w:ascii="Times New Roman" w:hAnsi="Times New Roman" w:cs="Times New Roman" w:eastAsia="Times New Roman"/>
          <w:color w:val="auto"/>
          <w:spacing w:val="0"/>
          <w:position w:val="0"/>
          <w:sz w:val="24"/>
          <w:shd w:fill="auto" w:val="clear"/>
        </w:rPr>
        <w:t xml:space="preserve">One studies was located in which researchers examined the effect of IMP-NTX on treatment retention (Larney et al., 2014). Researchers who examined the effects of IMP-NTX on treatment retention have published their study in the following academic and professional journal: </w:t>
      </w:r>
      <w:r>
        <w:rPr>
          <w:rFonts w:ascii="Times New Roman" w:hAnsi="Times New Roman" w:cs="Times New Roman" w:eastAsia="Times New Roman"/>
          <w:i/>
          <w:color w:val="auto"/>
          <w:spacing w:val="0"/>
          <w:position w:val="0"/>
          <w:sz w:val="24"/>
          <w:shd w:fill="auto" w:val="clear"/>
        </w:rPr>
        <w:t xml:space="preserve">Drug and Alcohol Review. </w:t>
      </w:r>
    </w:p>
    <w:p>
      <w:pPr>
        <w:spacing w:before="0" w:after="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Cravings. </w:t>
      </w:r>
      <w:r>
        <w:rPr>
          <w:rFonts w:ascii="Times New Roman" w:hAnsi="Times New Roman" w:cs="Times New Roman" w:eastAsia="Times New Roman"/>
          <w:color w:val="auto"/>
          <w:spacing w:val="0"/>
          <w:position w:val="0"/>
          <w:sz w:val="24"/>
          <w:shd w:fill="auto" w:val="clear"/>
        </w:rPr>
        <w:t xml:space="preserve">One study was located in which researchers examined the effect of IMP-NTX on cravings, or urge to use opiates (Colquhoun, 2013). Researchers who examined the effects of IMP-NTX on cravings have published their study in the following academic and professional journal: </w:t>
      </w:r>
      <w:r>
        <w:rPr>
          <w:rFonts w:ascii="Times New Roman" w:hAnsi="Times New Roman" w:cs="Times New Roman" w:eastAsia="Times New Roman"/>
          <w:i/>
          <w:color w:val="auto"/>
          <w:spacing w:val="0"/>
          <w:position w:val="0"/>
          <w:sz w:val="24"/>
          <w:shd w:fill="auto" w:val="clear"/>
        </w:rPr>
        <w:t xml:space="preserve">Substance Abuse: Research and Treatment. </w:t>
      </w:r>
    </w:p>
    <w:p>
      <w:pPr>
        <w:spacing w:before="0" w:after="0" w:line="48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Adverse events. </w:t>
      </w:r>
      <w:r>
        <w:rPr>
          <w:rFonts w:ascii="Times New Roman" w:hAnsi="Times New Roman" w:cs="Times New Roman" w:eastAsia="Times New Roman"/>
          <w:color w:val="auto"/>
          <w:spacing w:val="0"/>
          <w:position w:val="0"/>
          <w:sz w:val="24"/>
          <w:shd w:fill="auto" w:val="clear"/>
        </w:rPr>
        <w:t xml:space="preserve">Four studies were located in which researchers examined the effect of IMP-NTX on adverse events including fatal and non-fatal overdoses and mortalities (Colquhoun, 2013; Hulse et al., 2015; Kelty &amp; Hulse, 2012; Ngo et al., 2008). Researchers who examined the effects of IMP-NTX on adverse events have published studies in the following academic and professional journals: </w:t>
      </w:r>
      <w:r>
        <w:rPr>
          <w:rFonts w:ascii="Times New Roman" w:hAnsi="Times New Roman" w:cs="Times New Roman" w:eastAsia="Times New Roman"/>
          <w:i/>
          <w:color w:val="auto"/>
          <w:spacing w:val="0"/>
          <w:position w:val="0"/>
          <w:sz w:val="24"/>
          <w:shd w:fill="auto" w:val="clear"/>
        </w:rPr>
        <w:t xml:space="preserve">Substance Abuse: Research and Treatment, Archives of General Psychiatry,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i/>
          <w:color w:val="auto"/>
          <w:spacing w:val="0"/>
          <w:position w:val="0"/>
          <w:sz w:val="24"/>
          <w:shd w:fill="auto" w:val="clear"/>
        </w:rPr>
        <w:t xml:space="preserve">Addiction.</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Results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Differences have been examined in the literature between IMP and Non-IMP-NTX in terms of treatment outcomes. The same four treatment outcomes of abstinence, treatment retention, cravings, and adverse events have been selected from the literature as the most prevalent and have been grouped to better systematize the information in this systematic review of literature. Both IMP and non-IMP-NTX outcomes included all relevant available information covering the aforementioned treatment outcomes.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Non-Implant Naltrexone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Abstinence. </w:t>
      </w:r>
      <w:r>
        <w:rPr>
          <w:rFonts w:ascii="Times New Roman" w:hAnsi="Times New Roman" w:cs="Times New Roman" w:eastAsia="Times New Roman"/>
          <w:color w:val="auto"/>
          <w:spacing w:val="0"/>
          <w:position w:val="0"/>
          <w:sz w:val="24"/>
          <w:shd w:fill="auto" w:val="clear"/>
        </w:rPr>
        <w:t xml:space="preserve">Abstinence from opioid and opiate drugs has been identified as a treatment outcome associated with Non-IMP-NTX. The authors of seven studies have examined the impact of Non-IMP-NTX treatment on drug use. Coviello et al. (2012) conducted a feasibility study of 61 individuals with previous opioid dependence on probation or parole. These authors examined the effects of the injectable form of NTX on opioid abstinence through six monthly injections. Urine drug screen (UDS) data were available for 35 out of the 40 subjects who completed a six-month follow-up</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Only one XR-NTX treatment completer, comprising four percent of the total number of participants, had an opioid-positive urine at 6 months compared to 44% of the non-completers (</w:t>
      </w:r>
      <w:r>
        <w:rPr>
          <w:rFonts w:ascii="Times New Roman" w:hAnsi="Times New Roman" w:cs="Times New Roman" w:eastAsia="Times New Roman"/>
          <w:i/>
          <w:color w:val="auto"/>
          <w:spacing w:val="0"/>
          <w:position w:val="0"/>
          <w:sz w:val="24"/>
          <w:shd w:fill="auto" w:val="clear"/>
        </w:rPr>
        <w:t xml:space="preserve">χ2</w:t>
      </w:r>
      <w:r>
        <w:rPr>
          <w:rFonts w:ascii="Times New Roman" w:hAnsi="Times New Roman" w:cs="Times New Roman" w:eastAsia="Times New Roman"/>
          <w:color w:val="auto"/>
          <w:spacing w:val="0"/>
          <w:position w:val="0"/>
          <w:sz w:val="24"/>
          <w:shd w:fill="auto" w:val="clear"/>
        </w:rPr>
        <w:t xml:space="preserve"> = 9.0, </w:t>
      </w:r>
      <w:r>
        <w:rPr>
          <w:rFonts w:ascii="Times New Roman" w:hAnsi="Times New Roman" w:cs="Times New Roman" w:eastAsia="Times New Roman"/>
          <w:i/>
          <w:color w:val="auto"/>
          <w:spacing w:val="0"/>
          <w:position w:val="0"/>
          <w:sz w:val="24"/>
          <w:shd w:fill="auto" w:val="clear"/>
        </w:rPr>
        <w:t xml:space="preserve">df</w:t>
      </w:r>
      <w:r>
        <w:rPr>
          <w:rFonts w:ascii="Times New Roman" w:hAnsi="Times New Roman" w:cs="Times New Roman" w:eastAsia="Times New Roman"/>
          <w:color w:val="auto"/>
          <w:spacing w:val="0"/>
          <w:position w:val="0"/>
          <w:sz w:val="24"/>
          <w:shd w:fill="auto" w:val="clear"/>
        </w:rPr>
        <w:t xml:space="preserve"> = 1,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0.003).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Krupitsky et al. (2011) conducted a randomized controlled trial of 250 participants who were predominantly white males who had been addicted to heroin for about ten years. These authors randomly assigned participants to either 24-week XR-NTX treatment or placebo (PBO) group. Using the results of UDS, the authors found that the percentage of opioid-free weeks was significantly higher in the XR-NTX group than the PBO group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0.0002). Total abstinence was reported in 36% of patients in the XR-NTX group compared with 23% in the PBO group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0.0224). No significant relation was noted between age, sex, or duration of opioid dependence and the rate of opioid-free urine tests.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Krupitsky et al. (2013) conducted a double-blind randomized controlled trial over the course of a year at 13 clinical sites in Russia. The authors measured for any opioid use using urinalysis. Among open-label patients who received XR-NTX or PBO during the double-blind phase, an average of 73.7%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33.2) and 81.0%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28.6), respectively, of the tests were negative for opioids. Across the yearlong open-label phase, the percent of opioid-free days was, on average, 83.4%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27.5). For those who received XR-NTX or PBO during the double-blind phase, there were an average of 80.6%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29.7) and 87.4%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23.8) opioid-free days.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Hulse, Morris, Arnold-Reed, and Tait (2015) conducted a double-blind, double-PBO, randomized controlled trial with 70 participants with opioid-dependence in Perth, Western Australia in order to compare the safety and efficacy of IMP vs Non-IMP, or oral, NTX to treat heroin dependence over six months. All participants received treatment with either oral or IMP-NTX while also receiving a PBO implant or tablet, respectively. The authors measured abstinence through self-report and urinalysis. The authors concluded that significantly less abstinence was maintained by the oral group at six month compared to the implant group through urinalysis (26% vs. 63%) and self-report (21% vs. 49%). It was also discovered through survival curves that return to regular heroin use or loss to follow-up that relapse occurred significantly earlier in the oral group compared to the implant group.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Lee et al. (2015) conducted an eight-week, open-label, non-blinded randomized effectiveness trial, the authors sought to examine the effectiveness of XR-NTX versus Treatment as Usual (TAU) in preventing immediate post-release opioid relapse at week four. Out of 33 adults with opioid dependence who were incarcerated at the time, rates of confirmed abstinence versus any opioid use or dropout at week four were roughly 80% among XR-NTX and 60% among PBO, versus 50% and 13% among XR-NTX and TAU, respectively, in this trial. This information was gathered using urine toxicologies.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Mannelli et al. (2009) conducted a seven-day follow up evaluation of a double-blind, randomized trial of 96 adults who completed an inpatient detox consisting of the addition of Very Low Dose Naltrexone (VLNTX) at two sites. Through a logistic regression model, the authors found that treatment augmentation with VLNTX at both .125mg and .250mg doses increased the likelihood of abstaining from opioids and of transfer to outpatient treatment after one week, compared to methadone only.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a university-affiliated integrated mental health-addiction treatment clinic, Sajid et al. (2016) conducted an investigation using Prescription Drug Monitoring Program to measure opioid abstinence. UDS data was examined before and after the first injection of XR-NTX in 68 participants. The authors concluded that post-first injection, UDS’s positive for opioids declined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&lt; 0.05). Overall, six out of seven authors determined that Non-IMP-NTX is positively associated with a superior reduction in relapse potential for participants with opioid dependence.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Treatment retention. </w:t>
      </w:r>
      <w:r>
        <w:rPr>
          <w:rFonts w:ascii="Times New Roman" w:hAnsi="Times New Roman" w:cs="Times New Roman" w:eastAsia="Times New Roman"/>
          <w:color w:val="auto"/>
          <w:spacing w:val="0"/>
          <w:position w:val="0"/>
          <w:sz w:val="24"/>
          <w:shd w:fill="auto" w:val="clear"/>
        </w:rPr>
        <w:t xml:space="preserve">The likelihood of participants to remain engaged in treatment after receiving Non-IMP-NTX has been examined in the literature. The authors of five studies investigated the impact on Non-IMP-NTX on participants’ length of stay in treatment. Cousins et al. (2016) conducted a demonstration trial consisting of 171 participants who obtained XR-NTX for opioid dependence from three residential treatment centers in Los Angeles, California. The Longitudinal Cox Proportional Hazard model was used to examine the association of the independent variables with retention. Retention was characterized by how many doses a participant received. The authors found that of the 171 participants who received XR-NTX, the mean number of doses received was 2.4 (</w:t>
      </w:r>
      <w:r>
        <w:rPr>
          <w:rFonts w:ascii="Times New Roman" w:hAnsi="Times New Roman" w:cs="Times New Roman" w:eastAsia="Times New Roman"/>
          <w:i/>
          <w:color w:val="auto"/>
          <w:spacing w:val="0"/>
          <w:position w:val="0"/>
          <w:sz w:val="24"/>
          <w:shd w:fill="auto" w:val="clear"/>
        </w:rPr>
        <w:t xml:space="preserve">SD</w:t>
      </w:r>
      <w:r>
        <w:rPr>
          <w:rFonts w:ascii="Times New Roman" w:hAnsi="Times New Roman" w:cs="Times New Roman" w:eastAsia="Times New Roman"/>
          <w:color w:val="auto"/>
          <w:spacing w:val="0"/>
          <w:position w:val="0"/>
          <w:sz w:val="24"/>
          <w:shd w:fill="auto" w:val="clear"/>
        </w:rPr>
        <w:t xml:space="preserve"> = 1.5); 40.9%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70) received one dose only, 19.3% (</w:t>
      </w:r>
      <w:r>
        <w:rPr>
          <w:rFonts w:ascii="Times New Roman" w:hAnsi="Times New Roman" w:cs="Times New Roman" w:eastAsia="Times New Roman"/>
          <w:i/>
          <w:color w:val="auto"/>
          <w:spacing w:val="0"/>
          <w:position w:val="0"/>
          <w:sz w:val="24"/>
          <w:shd w:fill="auto" w:val="clear"/>
        </w:rPr>
        <w:t xml:space="preserve">n </w:t>
      </w:r>
      <w:r>
        <w:rPr>
          <w:rFonts w:ascii="Times New Roman" w:hAnsi="Times New Roman" w:cs="Times New Roman" w:eastAsia="Times New Roman"/>
          <w:color w:val="auto"/>
          <w:spacing w:val="0"/>
          <w:position w:val="0"/>
          <w:sz w:val="24"/>
          <w:shd w:fill="auto" w:val="clear"/>
        </w:rPr>
        <w:t xml:space="preserve">= 33) two doses, 14.6% (</w:t>
      </w:r>
      <w:r>
        <w:rPr>
          <w:rFonts w:ascii="Times New Roman" w:hAnsi="Times New Roman" w:cs="Times New Roman" w:eastAsia="Times New Roman"/>
          <w:i/>
          <w:color w:val="auto"/>
          <w:spacing w:val="0"/>
          <w:position w:val="0"/>
          <w:sz w:val="24"/>
          <w:shd w:fill="auto" w:val="clear"/>
        </w:rPr>
        <w:t xml:space="preserve">n </w:t>
      </w:r>
      <w:r>
        <w:rPr>
          <w:rFonts w:ascii="Times New Roman" w:hAnsi="Times New Roman" w:cs="Times New Roman" w:eastAsia="Times New Roman"/>
          <w:color w:val="auto"/>
          <w:spacing w:val="0"/>
          <w:position w:val="0"/>
          <w:sz w:val="24"/>
          <w:shd w:fill="auto" w:val="clear"/>
        </w:rPr>
        <w:t xml:space="preserve">= 25) three doses, 16.4% (n=28) four doses, 4.1%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7) five doses, 2.9%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5) six doses, and 1.8%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3) seven or more doses. Coviello et al., (2012) analyzed UDS data and found that nearly 60% of the participants at the Penn site were retained at least four months and 64% were retained at least three months across all five sites.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One of the secondary outcomes that Krupitsky et al. (2011) examined in their investigation was also number of days of retention. This outcome was assessed with Kaplan-Meier curves and a log-rank test. Between July 3, 2008, and Oct 5, 2009, 250 patients were randomly assigned to XR-NTX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126) or PBO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124). Their findings indicated that the median number of days of retention was 168 days (i.e. still retained at the end of the study) in the XR-NTX group compared with 96 days for the PBO group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0.0042).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Following the six-month investigation previously conducted by these authors in 2011, Krupitsky et al. (2013) completed a randomized, double-blind, PBO-controlled injections given every 28 days, patients receiving XR-NTX 380 mg continued and PBO patients were switched to open-label XR-NTX, with monthly individual drug counseling, for a further year. Retention was examined through a Kaplan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Meier time-to-discontinuation survival analysis, using the sample of patients who entered the open-label phase. Of the group that began the extension phase, 62.3% completed the full year of treatment. This included 58.2% of those continuing on XR-NTX and 68.1% of those who switched from PBO to XR-NTX. During the double-blind phase, significantly more XR-NTX patients were retained. However, once the PBO patients switched to XR-NTX during the open-label phase, their rate of attrition over time leveled off.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Leslie et al. (2015) conducted a retrospective analysis of electronic records for 7687 opioid dependent patients in three residential detoxification and treatment facilities in Pennsylvania. Participants who were recommended for and received XR-NTX were identified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168) along with a comparison group of participants who were recommended for but failed to receive XR-NTX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430). Participants who received XR-NTX were significantly less likely to leave Against Medical Advice (AMA) than the control group (4.8% vs. 30.2%,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&lt; 0.001). Overall, the authors of five of five studies demonstrated that non-IMP-NTX yields greater retention in treatment for participants with opioid use disorders.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Cravings. </w:t>
      </w:r>
      <w:r>
        <w:rPr>
          <w:rFonts w:ascii="Times New Roman" w:hAnsi="Times New Roman" w:cs="Times New Roman" w:eastAsia="Times New Roman"/>
          <w:color w:val="auto"/>
          <w:spacing w:val="0"/>
          <w:position w:val="0"/>
          <w:sz w:val="24"/>
          <w:shd w:fill="auto" w:val="clear"/>
        </w:rPr>
        <w:t xml:space="preserve">The urge to use opiates has been used interchangeably with “cravings” and identified as a treatment outcome associated with Non-IMP-NTX treatment. The authors of four studies have examined the impact of Non-IMP-NTX on the urge to use opiates post-treatment. In the investigation conducted by Cousins et al. (2016), Participants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60) who were enrolled in the Phase Two evaluation completed the Urge to Use Scale, which was adapted from the Penn Alcohol Craving Scale. Phase Two participants completed a weekly survey on their urges to use following the initial dose of XR-NTX. The mean urge-to-use score decreased over the course of the first 30 days. From a baseline mean score of 18.3, the Urge-to-Use score dropped to 8.4 in Week One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54), 5.7 in Week Two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55), and 6.2 in Week Three (</w:t>
      </w:r>
      <w:r>
        <w:rPr>
          <w:rFonts w:ascii="Times New Roman" w:hAnsi="Times New Roman" w:cs="Times New Roman" w:eastAsia="Times New Roman"/>
          <w:i/>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 52). Using a repeated measures longitudinal random-effects model, the authors discovered that the mean urge-to-use scores were lower at every time point compared to the baseline Urge-to-Use score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0.03). There were no significant differences in Urge-to-Use scores between heroin and non-heroin opioid users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0.5).</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 their aforementioned investigation, Krupitsky et al. (2011) assessed craving with a weekly self-report visual analogue scale (VAS) of need for opioids. After analyzing the results, the authors concluded that there was a statistically and clinically significant greater reduction in opioid craving in the XR-NTX group than the PBO group by week eight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0.0048), which persisted every week until week 24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&lt; 0.0001).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previously reported, in the double-blind phase of the study conducted by Krupitsky et al. (2013), XR-NTX patients had significant reductions in craving for opioids compared with PBO. Craving was assessed weekly during the first six months and monthly during the one-year extension phase with a self-report VAS of ‘need for opioids’ (Krupitsky et al., 2013). When PBO patients were switched to XR-NTX, craving for opioids was also reduced over time within this group. For those continuing on XR-NTX, mean craving for opioids remained low into and throughout the yearlong extension phase (Krupitsky et al., 2013).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evaluate cravings,  Mannelli et al. (2009) employed the Subjective Opiate Withdrawal Scale (SOWS), which is a self-rating scale which evaluates the presence and intensity of 16 symptoms on five-point Likert scales, and the Objective Opiate Withdrawal Scale (OOWS), which rates the presence of 13 observable physical signs of withdrawal. Withdrawal scores and craving remained lower among VLNTX-treated subjects in both groups compared to</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PBO group (SOWS, </w:t>
      </w:r>
      <w:r>
        <w:rPr>
          <w:rFonts w:ascii="Times New Roman" w:hAnsi="Times New Roman" w:cs="Times New Roman" w:eastAsia="Times New Roman"/>
          <w:i/>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 29.4 [2,72],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0.001; OOWS, </w:t>
      </w:r>
      <w:r>
        <w:rPr>
          <w:rFonts w:ascii="Times New Roman" w:hAnsi="Times New Roman" w:cs="Times New Roman" w:eastAsia="Times New Roman"/>
          <w:i/>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 17.9 [2,74],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0.001; craving, </w:t>
      </w:r>
      <w:r>
        <w:rPr>
          <w:rFonts w:ascii="Times New Roman" w:hAnsi="Times New Roman" w:cs="Times New Roman" w:eastAsia="Times New Roman"/>
          <w:i/>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 9.9 [2,72],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0.002. Overall, the authors of four of four studies concluded that Non-IMP-NTX significantly reduced participants’ opioid cravings during and after treatment.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Adverse Events. </w:t>
      </w:r>
      <w:r>
        <w:rPr>
          <w:rFonts w:ascii="Times New Roman" w:hAnsi="Times New Roman" w:cs="Times New Roman" w:eastAsia="Times New Roman"/>
          <w:color w:val="auto"/>
          <w:spacing w:val="0"/>
          <w:position w:val="0"/>
          <w:sz w:val="24"/>
          <w:shd w:fill="auto" w:val="clear"/>
        </w:rPr>
        <w:t xml:space="preserve">Adverse events including death and overdose related to Non-IMP-NTX treatment have been examined in the literature. The authors of two studies have examined the impact of Non-IMP-NTX treatment on the adverse events of overdose and mortality. Kelty and Hulse (2012) conducted a retrospective cohort study at a community not-for-profit drug treatment clinic between August 1997 and December 2009 comparing 2155 participants treated with oral NTX with 2389 participants with IMP-NTX. Mortality rates in participants whose first treatment was oral NTX were not significantly different to participants who were first treated with IMP-NTX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0.1117). However, using all treatments, there was a slightly significant difference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0.0339) with mortality rates of 8.78 deaths per 1000 patient-years (ptpy) for oral NTX participants and 6.59 ptpy for IMP-NTX participants.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Lee et al. (2015) examined for overdose and death rates in their aforementioned investigation but none were reported in all 33 participants during the eight weeks. Overall, the authors of both studies concluded that there are insignificant relationships between Non-IMP-NTX and adverse events. The results of these investigations are also in line with those of Minozzi et al. (2011) who reported a lack of mortality data for oral NTX in their review of literature. Overall, the authors of two of two studies concluded that their data on adverse events related to Non-IMP NTX was insignificant.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Implant Naltrexone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Abstinence. </w:t>
      </w:r>
      <w:r>
        <w:rPr>
          <w:rFonts w:ascii="Times New Roman" w:hAnsi="Times New Roman" w:cs="Times New Roman" w:eastAsia="Times New Roman"/>
          <w:color w:val="auto"/>
          <w:spacing w:val="0"/>
          <w:position w:val="0"/>
          <w:sz w:val="24"/>
          <w:shd w:fill="auto" w:val="clear"/>
        </w:rPr>
        <w:t xml:space="preserve">Abstinence from opioid and opiate drugs has been identified as a treatment outcome associated also with IMP-NTX. The authors of four studies have examined the impact of IMP-NTX on opioid-related sobriety post-treatment. Colquhoun (2013) conducted an open-label trickle-inclusion study, 66 patients were included, each patient receiving a six-month NTX implant. Sixty-six patients received an implant and were surveyed; urine and blood samples were taken at about one, three, and six months after implantation. Abstinence from opioids was measured using UDSs. The number of participants using no drugs rose over the six months to 44% of the sample compared to 16% at one month. Of those using two to four other drugs, the number fell from 77.4% pre-implant to 61% at month one to 33% at six months.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Larney et al. (2014) conducted a meta-analysis of five randomized trails including 576 participants and four non-randomized studies including 8358 participants to assess the safety and efficacy of using IMP-NTX for treating opioid dependence. IMP-NTX was superior to PBO implants [risk ratio (RR): 0.57;95% CI: 0.48, 0.68; </w:t>
      </w:r>
      <w:r>
        <w:rPr>
          <w:rFonts w:ascii="Times New Roman" w:hAnsi="Times New Roman" w:cs="Times New Roman" w:eastAsia="Times New Roman"/>
          <w:i/>
          <w:color w:val="auto"/>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 2] and oral NTX (RR: 0.57;95% CI: 0.47, 0.70; </w:t>
      </w:r>
      <w:r>
        <w:rPr>
          <w:rFonts w:ascii="Times New Roman" w:hAnsi="Times New Roman" w:cs="Times New Roman" w:eastAsia="Times New Roman"/>
          <w:i/>
          <w:color w:val="auto"/>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 2) in suppressing opioid use.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Lobmaier, Kunøe, Gossop, Katevoll, and Waal (2010) compared the effects of NTX implants and methadone treatment on heroin use in 46 participants in a prison setting who were randomly assigned to either intervention pre-release. Of the 46 participants, 43 were men and three were women. Abstinence was assessed by trained interviewers with the European version of the Addiction Severity Index at six-month follow-up. There were no statistically significant differences between the NTX and methadone groups in terms of changes in substance use.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Hulse et al. (2015) conducted an investigation wherein they sought to compare the safety and efficacy of a single-treatment sustained-release IMP-NTX and daily oral NTX treatment. The study consisted of 70 participants with heroin-dependence in a randomized, double-blind, double-PBO controlled trial with a six-month follow up period. Participants received oral NTX, 50 mg/day for 6 months, plus PBO implants, or a single dose of 2.3 g of NTX implant, plus PBO tablets. More oral group participants had returned to regular heroin use by six months (</w:t>
      </w:r>
      <w:r>
        <w:rPr>
          <w:rFonts w:ascii="Times New Roman" w:hAnsi="Times New Roman" w:cs="Times New Roman" w:eastAsia="Times New Roman"/>
          <w:i/>
          <w:color w:val="auto"/>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 0.003) as validated by UDSs, and at an earlier stage which was evaluated by Kaplan-Meier survival analysis and log-rank tests. Overall, the authors of three of four studies concluded that IMP-NTX treatment resulted in statistically significant increases in opioid abstinence.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Treatment Retention. </w:t>
      </w:r>
      <w:r>
        <w:rPr>
          <w:rFonts w:ascii="Times New Roman" w:hAnsi="Times New Roman" w:cs="Times New Roman" w:eastAsia="Times New Roman"/>
          <w:color w:val="auto"/>
          <w:spacing w:val="0"/>
          <w:position w:val="0"/>
          <w:sz w:val="24"/>
          <w:shd w:fill="auto" w:val="clear"/>
        </w:rPr>
        <w:t xml:space="preserve">The likelihood of participants to remain engaged in treatment after receiving IMP-NTX has been examined in the literature. The authors of one study have examined IMP-NTX in relation to treatment retention. Through their meta-analysis, Larney et al. (2014) concluded that IMP-NTX showed significantly better treatment retention than PBO implants and oral NTX.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Cravings. </w:t>
      </w:r>
      <w:r>
        <w:rPr>
          <w:rFonts w:ascii="Times New Roman" w:hAnsi="Times New Roman" w:cs="Times New Roman" w:eastAsia="Times New Roman"/>
          <w:color w:val="auto"/>
          <w:spacing w:val="0"/>
          <w:position w:val="0"/>
          <w:sz w:val="24"/>
          <w:shd w:fill="auto" w:val="clear"/>
        </w:rPr>
        <w:t xml:space="preserve">The urge to use opiates and/or opioids has been used interchangeably with “cravings” and identified as a treatment outcome also associated with IMP-NTX treatment. The author of one study has examined the impact of IMP-NTX on the urge to use opioids. Colquhoun (2013), in his aforementioned investigation, asserted that subjective ratings of craving for opiates declined dramatically from the time before the implant was inserted compared to the period after insertion, and were sustained for the six months.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Adverse Events. </w:t>
      </w:r>
      <w:r>
        <w:rPr>
          <w:rFonts w:ascii="Times New Roman" w:hAnsi="Times New Roman" w:cs="Times New Roman" w:eastAsia="Times New Roman"/>
          <w:color w:val="auto"/>
          <w:spacing w:val="0"/>
          <w:position w:val="0"/>
          <w:sz w:val="24"/>
          <w:shd w:fill="auto" w:val="clear"/>
        </w:rPr>
        <w:t xml:space="preserve">Adverse events including death and overdose related to IMP-NTX treatment have also been examined in the literature. The authors of four studies have examined the effect of IMP-NTX on adverse events such as mortality, overdose, and extrusion.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their retrospective cohort study which has been previous outlined in this review, Kelty and Hulse (2012) reported that significantly there were significantly less mortality rates within the first four months of treatment for IMP vs Non-IMP-NTX.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Ngo, Tait, and Hulse (2008) conducted a retrospective longitudinal follow-up study using data prospectively collected via a state hospital reporting system in Perth, Western Australia. The authors compared 522 and 314 people with heroin-dependence, first time treated with methadone maintenance treatment (MMT) or IMP-NTX, respectively. Through database analysis, the authors found that among participants in the IMP-NTX group, the odds for opioid overdose decreased by more than four-fold at 3.5-year posttreatment compared to MMT. As it pertained to mortality, the authors discovered that within 3.5 years of treatment, there were six drug-related deaths: Five after MMT and one after IMP-NTX treatment.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his open-label trickle-inclusion study which has been previously outlined in this review, Colquhoun (2013) found that there were five tissue reactions to the implant and three implants were extruded (7.8% and 4.6%, respectively) due to an inflammatory response. The author also reported that those three participants whose implants were extruded ended up relapsing. </w:t>
      </w:r>
    </w:p>
    <w:p>
      <w:pPr>
        <w:spacing w:before="0" w:after="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w:hAnsi="Times" w:cs="Times" w:eastAsia="Times"/>
          <w:color w:val="auto"/>
          <w:spacing w:val="0"/>
          <w:position w:val="0"/>
          <w:sz w:val="24"/>
          <w:shd w:fill="auto" w:val="clear"/>
        </w:rPr>
        <w:t xml:space="preserve">Hulse et al. (2015) conducted a randomized-controlled trial which has been previously outlined in this review. The 29 study-related but expected adverse events, 10 in the oral and 19 in the IMP-NTX group, were typically opiate withdrawal symptoms (e.g.</w:t>
      </w:r>
      <w:r>
        <w:rPr>
          <w:rFonts w:ascii="Calibri" w:hAnsi="Calibri" w:cs="Calibri" w:eastAsia="Calibri"/>
          <w:color w:val="auto"/>
          <w:spacing w:val="0"/>
          <w:position w:val="0"/>
          <w:sz w:val="24"/>
          <w:shd w:fill="auto" w:val="clear"/>
        </w:rPr>
        <w:t xml:space="preserve"> </w:t>
      </w:r>
      <w:r>
        <w:rPr>
          <w:rFonts w:ascii="Times" w:hAnsi="Times" w:cs="Times" w:eastAsia="Times"/>
          <w:color w:val="auto"/>
          <w:spacing w:val="0"/>
          <w:position w:val="0"/>
          <w:sz w:val="24"/>
          <w:shd w:fill="auto" w:val="clear"/>
        </w:rPr>
        <w:t xml:space="preserve">diarrhea, nausea, vomiting) or exudation, redness, or pain at the surgical incision site or proximal to the implant during the first 14 days after surgery. Overall, the authors of two of four studies have concluded that IMP-NTX treatment resulted in a reduction in clinically significant adverse outcomes. </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The purpose of the present study was to identify and examine the outcomes associated with both Non-IMP and IMP-NTX for the treatment of opioid use disorders. The following two research questions were used to guide the analysis in the study: (1) </w:t>
      </w:r>
      <w:r>
        <w:rPr>
          <w:rFonts w:ascii="Times New Roman" w:hAnsi="Times New Roman" w:cs="Times New Roman" w:eastAsia="Times New Roman"/>
          <w:color w:val="000000"/>
          <w:spacing w:val="0"/>
          <w:position w:val="0"/>
          <w:sz w:val="24"/>
          <w:shd w:fill="FFFFFF" w:val="clear"/>
        </w:rPr>
        <w:t xml:space="preserve">What impact does NTX have on the treatment outcomes for people with opioid use disorders, and (2) how does IMP compare to Non-IMP-NTX across the same treatment outcomes? In the current study, 13 peer-reviewed articles were found that met inclusion criteria and examined treatment outcomes associated with either form of NTX treatment. Several variables were reviewed in the relevant literature including opioid abstinence, treatment retention, cravings, and adverse events outcomes that were associated with NTX. Empirical evidence supports that both forms of NTX treatment have been associated with positive outcomes across all the included variables, some more strongly than others. This researcher found more support in the literature for Non-IMP-NTX. Overall, a majority of the authors who examined each variable for each NTX treatment reported significant improvements in each treatment outcome besides adverse events. No significant differences were observed between IMP and Non-IMP-NTX across the selected treatment outcomes. </w:t>
      </w:r>
    </w:p>
    <w:p>
      <w:pPr>
        <w:spacing w:before="0" w:after="0" w:line="48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Limitations</w:t>
      </w:r>
    </w:p>
    <w:p>
      <w:pPr>
        <w:spacing w:before="0" w:after="0" w:line="480"/>
        <w:ind w:right="0" w:left="0" w:firstLine="72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Limitations to the included studies were most frequently lack of various demographic representation. Lee et al. (2015). Generalizability to other residential treatment, clinical and geographic settings is also in question (Leslie et al., 2015). The research on IMP-NTX was limited due to the fact that it is not approved for use in the United States. Treatment retention may have been impacted by differences in provisions to the participants (e.g. individual counseling or alternative treatments) (Krupitsky et al., 2011). Authors who investigated the impact of IMP or Non-IMP-NTX on adverse events such as mortality, overdose, or implant extrusion were not able to report significant results or identify sufficient data through their own reviews of literature. Self-report measures must also be interpreted with caution due to the stigma and adverse outcomes associated with illicit drug use (Krupitsky et al., 2011). A limitation to this systematic review of literature was the inclusion criteria of the application of NTX to opioid-use disorders, as NTX has also been widely used for the treatment of alcohol use disorders.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000000"/>
          <w:spacing w:val="0"/>
          <w:position w:val="0"/>
          <w:sz w:val="24"/>
          <w:shd w:fill="FFFFFF" w:val="clear"/>
        </w:rPr>
        <w:t xml:space="preserve">Future Research</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it pertains to future research, Larney et al. (2014) and Minozzi et al. (2011) felt that IMP-NTX may be an alternative to conventional opioid agonist treatment for patients motivated towards abstinence, but more and better designed research trials are needed to establish their safety and efficacy in comparison with existing effective treatments such as methadone. Leslie et al. (2015) supported that future research will need to include more detailed information about motivation, stages of change and other correlates before any claims of causality can be made. At the same token, Leslie et al. (2015) thought it might be important to gather information on the subjective effects of XR-NTX on drug craving, mood, response to stress and other measures relevant to risk of relapse, such as sleep quality and insomnia. Colquhoun (2013) stated that in order to properly evaluate the usefulness of NTX, it is important that future research examines longer term outcomes. This means examining similar treatment outcomes outlined in this review past the treatment duration of IMP- or Non-IMP-NTX. There are also other variables that have not been selected for examination and discussion in this review, such as comorbidity, motivation, and demographic variables, that may serve as a basis for examination in future studies.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Implications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Implications for professionals who work with populations with opioid-use disorders based on the comprehensive findings of this review are numerous. Professionals should ensure that their clients are educated on the benefits and limitations of IMP and Non-IMP-NTX. Larney et al. (2014) felt it important to note that NTX may be best suited to particular sub-groups of opioid-dependent people. Substitution therapy with opioid agonists is the mainstay of treatment for opioid dependence, but abstinence-based treatment can be clinically in certain cases (e.g. someone who has not used opiates extensively). In other words, NTX may not be an effective option for someone who does not meet certain criteria of opioid dependence. If a patient does choose to use NTX, clinicians should see to it that continuing care arrangements are in place post-treatment. Lee et al. (2015) claimed that XR-NTX appears to be an important treatment option for individuals involved in the criminal justice system not otherwise accessing or interested in methadone or buprenorphine maintenance. Perhaps most importantly, professionals and patients alike must realize firstly that there is no miracle pill or treatment, and that medication alone is not the answer. Treatment outcomes have proven most effective when medications are used in combination with psychotherapy.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720"/>
        <w:jc w:val="center"/>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References</w:t>
      </w:r>
    </w:p>
    <w:p>
      <w:pPr>
        <w:spacing w:before="0" w:after="0" w:line="480"/>
        <w:ind w:right="0" w:left="480" w:hanging="480"/>
        <w:jc w:val="left"/>
        <w:rPr>
          <w:rFonts w:ascii="Times New Roman" w:hAnsi="Times New Roman" w:cs="Times New Roman" w:eastAsia="Times New Roman"/>
          <w:color w:val="000000"/>
          <w:spacing w:val="0"/>
          <w:position w:val="0"/>
          <w:sz w:val="24"/>
          <w:u w:val="single"/>
          <w:shd w:fill="FFFFFF" w:val="clear"/>
        </w:rPr>
      </w:pPr>
      <w:r>
        <w:rPr>
          <w:rFonts w:ascii="Times New Roman" w:hAnsi="Times New Roman" w:cs="Times New Roman" w:eastAsia="Times New Roman"/>
          <w:color w:val="000000"/>
          <w:spacing w:val="0"/>
          <w:position w:val="0"/>
          <w:sz w:val="24"/>
          <w:shd w:fill="FFFFFF" w:val="clear"/>
        </w:rPr>
        <w:t xml:space="preserve">American Society of Addiction Medicine. (2016). Opioid Addiction 2016 Facts &amp; Figures.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FFFFFF" w:val="clear"/>
          </w:rPr>
          <w:t xml:space="preserve">https://www.asam.org/docs/default-source/advocacy/opioid-addiction-disease-facts-figures.pdf</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Colquhoun, R. M. (2013). Open label trial of naltrexone implants: Measuring blood serum levels of naltrexone. </w:t>
      </w:r>
      <w:r>
        <w:rPr>
          <w:rFonts w:ascii="Times New Roman" w:hAnsi="Times New Roman" w:cs="Times New Roman" w:eastAsia="Times New Roman"/>
          <w:i/>
          <w:color w:val="auto"/>
          <w:spacing w:val="0"/>
          <w:position w:val="0"/>
          <w:sz w:val="24"/>
          <w:shd w:fill="auto" w:val="clear"/>
        </w:rPr>
        <w:t xml:space="preserve">Substance Abuse: Research and Treatment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 75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84.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http://doi.org/10.4137/SART.S10776</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Cousins, S. J., Radfar, S. R., Crèvecoeur-MacPhail, D., Ang, A., Darfler, K., &amp; Rawson, R. A. (2016). Predictors of continued use of extended-released naltrexone (XR-NTX) for opioid-dependence: An analysis of heroin and non-heroin opioid users in Los Angeles County. </w:t>
      </w:r>
      <w:r>
        <w:rPr>
          <w:rFonts w:ascii="Times New Roman" w:hAnsi="Times New Roman" w:cs="Times New Roman" w:eastAsia="Times New Roman"/>
          <w:i/>
          <w:color w:val="auto"/>
          <w:spacing w:val="0"/>
          <w:position w:val="0"/>
          <w:sz w:val="24"/>
          <w:shd w:fill="auto" w:val="clear"/>
        </w:rPr>
        <w:t xml:space="preserve">Journal of Substance Abuse Treatment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63</w:t>
      </w:r>
      <w:r>
        <w:rPr>
          <w:rFonts w:ascii="Times New Roman" w:hAnsi="Times New Roman" w:cs="Times New Roman" w:eastAsia="Times New Roman"/>
          <w:color w:val="auto"/>
          <w:spacing w:val="0"/>
          <w:position w:val="0"/>
          <w:sz w:val="24"/>
          <w:shd w:fill="auto" w:val="clear"/>
        </w:rPr>
        <w:t xml:space="preserve">, 66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71.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http://doi.org/10.1016/j.jsat.2015.12.004</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Coviello, D. M., Cornish, J. W., Lynch, K. G., Boney, T. Y., Clark, C. A., Lee, J. D., … O’Brien, C. P. (2012). A multisite pilot study of extended-release injectable naltrexone treatment for previously opioid-dependent parolees and Probationers. </w:t>
      </w:r>
      <w:r>
        <w:rPr>
          <w:rFonts w:ascii="Times New Roman" w:hAnsi="Times New Roman" w:cs="Times New Roman" w:eastAsia="Times New Roman"/>
          <w:i/>
          <w:color w:val="auto"/>
          <w:spacing w:val="0"/>
          <w:position w:val="0"/>
          <w:sz w:val="24"/>
          <w:shd w:fill="auto" w:val="clear"/>
        </w:rPr>
        <w:t xml:space="preserve">Substance Abuse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33</w:t>
      </w:r>
      <w:r>
        <w:rPr>
          <w:rFonts w:ascii="Times New Roman" w:hAnsi="Times New Roman" w:cs="Times New Roman" w:eastAsia="Times New Roman"/>
          <w:color w:val="auto"/>
          <w:spacing w:val="0"/>
          <w:position w:val="0"/>
          <w:sz w:val="24"/>
          <w:shd w:fill="auto" w:val="clear"/>
        </w:rPr>
        <w:t xml:space="preserve">(1), 48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59.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http://doi.org/10.1080/08897077.2011.609438</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Hulse, G. K., Morris, N., Arnold-Reed, D., &amp; Tait, R. J. (2015). Improving Clinical Outcomes in Treating Heroin Dependence, </w:t>
      </w:r>
      <w:r>
        <w:rPr>
          <w:rFonts w:ascii="Times New Roman" w:hAnsi="Times New Roman" w:cs="Times New Roman" w:eastAsia="Times New Roman"/>
          <w:i/>
          <w:color w:val="auto"/>
          <w:spacing w:val="0"/>
          <w:position w:val="0"/>
          <w:sz w:val="24"/>
          <w:shd w:fill="auto" w:val="clear"/>
        </w:rPr>
        <w:t xml:space="preserve">66</w:t>
      </w:r>
      <w:r>
        <w:rPr>
          <w:rFonts w:ascii="Times New Roman" w:hAnsi="Times New Roman" w:cs="Times New Roman" w:eastAsia="Times New Roman"/>
          <w:color w:val="auto"/>
          <w:spacing w:val="0"/>
          <w:position w:val="0"/>
          <w:sz w:val="24"/>
          <w:shd w:fill="auto" w:val="clear"/>
        </w:rPr>
        <w:t xml:space="preserve">(10), 1108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1115.</w:t>
      </w:r>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Kelty, E., &amp; Hulse, G. (2012). Examination of mortality rates in a retrospective cohort of patients treated with oral or implant naltrexone for problematic opiate use. </w:t>
      </w:r>
      <w:r>
        <w:rPr>
          <w:rFonts w:ascii="Times New Roman" w:hAnsi="Times New Roman" w:cs="Times New Roman" w:eastAsia="Times New Roman"/>
          <w:i/>
          <w:color w:val="auto"/>
          <w:spacing w:val="0"/>
          <w:position w:val="0"/>
          <w:sz w:val="24"/>
          <w:shd w:fill="auto" w:val="clear"/>
        </w:rPr>
        <w:t xml:space="preserve">Addiction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107</w:t>
      </w:r>
      <w:r>
        <w:rPr>
          <w:rFonts w:ascii="Times New Roman" w:hAnsi="Times New Roman" w:cs="Times New Roman" w:eastAsia="Times New Roman"/>
          <w:color w:val="auto"/>
          <w:spacing w:val="0"/>
          <w:position w:val="0"/>
          <w:sz w:val="24"/>
          <w:shd w:fill="auto" w:val="clear"/>
        </w:rPr>
        <w:t xml:space="preserve">(10), 1817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1824.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http://doi.org/10.1111/j.1360-0443.2012.03910.x</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Krupitsky, E. M., Nunes, E. V., Ling, W., Illeperuma, A., Gastfriend, D. R., &amp; Silverman, B. L. (2011). Injectable extended-release naltrexone for opioid dependence: a double-blind, placebo-controlled, multicentre randomized trial. </w:t>
      </w:r>
      <w:r>
        <w:rPr>
          <w:rFonts w:ascii="Times New Roman" w:hAnsi="Times New Roman" w:cs="Times New Roman" w:eastAsia="Times New Roman"/>
          <w:i/>
          <w:color w:val="auto"/>
          <w:spacing w:val="0"/>
          <w:position w:val="0"/>
          <w:sz w:val="24"/>
          <w:shd w:fill="auto" w:val="clear"/>
        </w:rPr>
        <w:t xml:space="preserve">The Lancet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377</w:t>
      </w:r>
      <w:r>
        <w:rPr>
          <w:rFonts w:ascii="Times New Roman" w:hAnsi="Times New Roman" w:cs="Times New Roman" w:eastAsia="Times New Roman"/>
          <w:color w:val="auto"/>
          <w:spacing w:val="0"/>
          <w:position w:val="0"/>
          <w:sz w:val="24"/>
          <w:shd w:fill="auto" w:val="clear"/>
        </w:rPr>
        <w:t xml:space="preserve">, 1506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1513.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http://doi.org/10.1016/S0140-6736(11)60358-9</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Krupitsky, E., Nunes, E. V., Ling, W., Gastfriend, D. R., Memisoglu, A., &amp; Silverman, B. L. (2013). Injectable extended-release naltrexone (XR-NTX) for opioid dependence: Long-term safety and effectiveness. </w:t>
      </w:r>
      <w:r>
        <w:rPr>
          <w:rFonts w:ascii="Times New Roman" w:hAnsi="Times New Roman" w:cs="Times New Roman" w:eastAsia="Times New Roman"/>
          <w:i/>
          <w:color w:val="auto"/>
          <w:spacing w:val="0"/>
          <w:position w:val="0"/>
          <w:sz w:val="24"/>
          <w:shd w:fill="auto" w:val="clear"/>
        </w:rPr>
        <w:t xml:space="preserve">Addiction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108</w:t>
      </w:r>
      <w:r>
        <w:rPr>
          <w:rFonts w:ascii="Times New Roman" w:hAnsi="Times New Roman" w:cs="Times New Roman" w:eastAsia="Times New Roman"/>
          <w:color w:val="auto"/>
          <w:spacing w:val="0"/>
          <w:position w:val="0"/>
          <w:sz w:val="24"/>
          <w:shd w:fill="auto" w:val="clear"/>
        </w:rPr>
        <w:t xml:space="preserve">(9), 1628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1637. </w:t>
      </w:r>
      <w:hyperlink xmlns:r="http://schemas.openxmlformats.org/officeDocument/2006/relationships" r:id="docRId6">
        <w:r>
          <w:rPr>
            <w:rFonts w:ascii="Times New Roman" w:hAnsi="Times New Roman" w:cs="Times New Roman" w:eastAsia="Times New Roman"/>
            <w:color w:val="0000FF"/>
            <w:spacing w:val="0"/>
            <w:position w:val="0"/>
            <w:sz w:val="24"/>
            <w:u w:val="single"/>
            <w:shd w:fill="auto" w:val="clear"/>
          </w:rPr>
          <w:t xml:space="preserve">http://doi.org/10.1111/add.12208</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Kunøe, N., Lobmaier, P., Ngo, H., &amp; Hulse, G. (2014). Injectable and implantable sustained release naltrexone in the treatment of opioid addiction. </w:t>
      </w:r>
      <w:r>
        <w:rPr>
          <w:rFonts w:ascii="Times New Roman" w:hAnsi="Times New Roman" w:cs="Times New Roman" w:eastAsia="Times New Roman"/>
          <w:i/>
          <w:color w:val="auto"/>
          <w:spacing w:val="0"/>
          <w:position w:val="0"/>
          <w:sz w:val="24"/>
          <w:shd w:fill="auto" w:val="clear"/>
        </w:rPr>
        <w:t xml:space="preserve">British Journal of Clinical Pharmacology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77</w:t>
      </w:r>
      <w:r>
        <w:rPr>
          <w:rFonts w:ascii="Times New Roman" w:hAnsi="Times New Roman" w:cs="Times New Roman" w:eastAsia="Times New Roman"/>
          <w:color w:val="auto"/>
          <w:spacing w:val="0"/>
          <w:position w:val="0"/>
          <w:sz w:val="24"/>
          <w:shd w:fill="auto" w:val="clear"/>
        </w:rPr>
        <w:t xml:space="preserve">(2), 264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271. </w:t>
      </w:r>
      <w:hyperlink xmlns:r="http://schemas.openxmlformats.org/officeDocument/2006/relationships" r:id="docRId7">
        <w:r>
          <w:rPr>
            <w:rFonts w:ascii="Times New Roman" w:hAnsi="Times New Roman" w:cs="Times New Roman" w:eastAsia="Times New Roman"/>
            <w:color w:val="0000FF"/>
            <w:spacing w:val="0"/>
            <w:position w:val="0"/>
            <w:sz w:val="24"/>
            <w:u w:val="single"/>
            <w:shd w:fill="auto" w:val="clear"/>
          </w:rPr>
          <w:t xml:space="preserve">http://doi.org/10.1111/bcp.12011</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Larney, S., Gowing, L., Mattick, R. P., Farrell, M., Hall, W., &amp; Degenhardt, L. (2014). A systematic review and meta-analysis of naltrexone implants for the treatment of opioid dependence. </w:t>
      </w:r>
      <w:r>
        <w:rPr>
          <w:rFonts w:ascii="Times New Roman" w:hAnsi="Times New Roman" w:cs="Times New Roman" w:eastAsia="Times New Roman"/>
          <w:i/>
          <w:color w:val="auto"/>
          <w:spacing w:val="0"/>
          <w:position w:val="0"/>
          <w:sz w:val="24"/>
          <w:shd w:fill="auto" w:val="clear"/>
        </w:rPr>
        <w:t xml:space="preserve">Drug and Alcohol Review</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33</w:t>
      </w:r>
      <w:r>
        <w:rPr>
          <w:rFonts w:ascii="Times New Roman" w:hAnsi="Times New Roman" w:cs="Times New Roman" w:eastAsia="Times New Roman"/>
          <w:color w:val="auto"/>
          <w:spacing w:val="0"/>
          <w:position w:val="0"/>
          <w:sz w:val="24"/>
          <w:shd w:fill="auto" w:val="clear"/>
        </w:rPr>
        <w:t xml:space="preserve">(2), 115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128. </w:t>
      </w:r>
      <w:hyperlink xmlns:r="http://schemas.openxmlformats.org/officeDocument/2006/relationships" r:id="docRId8">
        <w:r>
          <w:rPr>
            <w:rFonts w:ascii="Times New Roman" w:hAnsi="Times New Roman" w:cs="Times New Roman" w:eastAsia="Times New Roman"/>
            <w:color w:val="0000FF"/>
            <w:spacing w:val="0"/>
            <w:position w:val="0"/>
            <w:sz w:val="24"/>
            <w:u w:val="single"/>
            <w:shd w:fill="auto" w:val="clear"/>
          </w:rPr>
          <w:t xml:space="preserve">http://doi.org/10.1111/dar.12095</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Lee, J. D., Mcdonald, R., Grossman, E., Mcneely, J., Laska, E., Rotrosen, J., &amp; Gourevitch, M. N. (2015). Opioid treatment at release from jail using extended-release naltrexone: A pilot proof-of-concept randomized effectiveness trial. </w:t>
      </w:r>
      <w:r>
        <w:rPr>
          <w:rFonts w:ascii="Times New Roman" w:hAnsi="Times New Roman" w:cs="Times New Roman" w:eastAsia="Times New Roman"/>
          <w:i/>
          <w:color w:val="auto"/>
          <w:spacing w:val="0"/>
          <w:position w:val="0"/>
          <w:sz w:val="24"/>
          <w:shd w:fill="auto" w:val="clear"/>
        </w:rPr>
        <w:t xml:space="preserve">Addiction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110</w:t>
      </w:r>
      <w:r>
        <w:rPr>
          <w:rFonts w:ascii="Times New Roman" w:hAnsi="Times New Roman" w:cs="Times New Roman" w:eastAsia="Times New Roman"/>
          <w:color w:val="auto"/>
          <w:spacing w:val="0"/>
          <w:position w:val="0"/>
          <w:sz w:val="24"/>
          <w:shd w:fill="auto" w:val="clear"/>
        </w:rPr>
        <w:t xml:space="preserve">(6), 1008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1014. </w:t>
      </w:r>
      <w:hyperlink xmlns:r="http://schemas.openxmlformats.org/officeDocument/2006/relationships" r:id="docRId9">
        <w:r>
          <w:rPr>
            <w:rFonts w:ascii="Times New Roman" w:hAnsi="Times New Roman" w:cs="Times New Roman" w:eastAsia="Times New Roman"/>
            <w:color w:val="0000FF"/>
            <w:spacing w:val="0"/>
            <w:position w:val="0"/>
            <w:sz w:val="24"/>
            <w:u w:val="single"/>
            <w:shd w:fill="auto" w:val="clear"/>
          </w:rPr>
          <w:t xml:space="preserve">http://doi.org/10.1111/add.12894</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Leslie, D. L., Milchak, W., Gastfriend, D. R., Herschman, P. L., Bixler, E. O., Velott, D. L., &amp; Meyer, R. E. (2015). Effects of injectable extended-release naltrexone (XR-NTX) for opioid dependence on residential rehabilitation outcomes and early follow-up. </w:t>
      </w:r>
      <w:r>
        <w:rPr>
          <w:rFonts w:ascii="Times New Roman" w:hAnsi="Times New Roman" w:cs="Times New Roman" w:eastAsia="Times New Roman"/>
          <w:i/>
          <w:color w:val="auto"/>
          <w:spacing w:val="0"/>
          <w:position w:val="0"/>
          <w:sz w:val="24"/>
          <w:shd w:fill="auto" w:val="clear"/>
        </w:rPr>
        <w:t xml:space="preserve">American Journal on Addictions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24</w:t>
      </w:r>
      <w:r>
        <w:rPr>
          <w:rFonts w:ascii="Times New Roman" w:hAnsi="Times New Roman" w:cs="Times New Roman" w:eastAsia="Times New Roman"/>
          <w:color w:val="auto"/>
          <w:spacing w:val="0"/>
          <w:position w:val="0"/>
          <w:sz w:val="24"/>
          <w:shd w:fill="auto" w:val="clear"/>
        </w:rPr>
        <w:t xml:space="preserve">(3), 265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270. </w:t>
      </w:r>
      <w:hyperlink xmlns:r="http://schemas.openxmlformats.org/officeDocument/2006/relationships" r:id="docRId10">
        <w:r>
          <w:rPr>
            <w:rFonts w:ascii="Times New Roman" w:hAnsi="Times New Roman" w:cs="Times New Roman" w:eastAsia="Times New Roman"/>
            <w:color w:val="0000FF"/>
            <w:spacing w:val="0"/>
            <w:position w:val="0"/>
            <w:sz w:val="24"/>
            <w:u w:val="single"/>
            <w:shd w:fill="auto" w:val="clear"/>
          </w:rPr>
          <w:t xml:space="preserve">http://doi.org/10.1111/ajad.12182</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Lobmaier, P. P., Kunøe, N., Gossop, M., Katevoll, T., &amp; Waal, H. (2010). Naltrexone implants compared to methadone: Outcomes six months after prison release. </w:t>
      </w:r>
      <w:r>
        <w:rPr>
          <w:rFonts w:ascii="Times New Roman" w:hAnsi="Times New Roman" w:cs="Times New Roman" w:eastAsia="Times New Roman"/>
          <w:i/>
          <w:color w:val="auto"/>
          <w:spacing w:val="0"/>
          <w:position w:val="0"/>
          <w:sz w:val="24"/>
          <w:shd w:fill="auto" w:val="clear"/>
        </w:rPr>
        <w:t xml:space="preserve">European Addiction Research</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16</w:t>
      </w:r>
      <w:r>
        <w:rPr>
          <w:rFonts w:ascii="Times New Roman" w:hAnsi="Times New Roman" w:cs="Times New Roman" w:eastAsia="Times New Roman"/>
          <w:color w:val="auto"/>
          <w:spacing w:val="0"/>
          <w:position w:val="0"/>
          <w:sz w:val="24"/>
          <w:shd w:fill="auto" w:val="clear"/>
        </w:rPr>
        <w:t xml:space="preserve">(3), 139</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145. </w:t>
      </w:r>
      <w:hyperlink xmlns:r="http://schemas.openxmlformats.org/officeDocument/2006/relationships" r:id="docRId11">
        <w:r>
          <w:rPr>
            <w:rFonts w:ascii="Times New Roman" w:hAnsi="Times New Roman" w:cs="Times New Roman" w:eastAsia="Times New Roman"/>
            <w:color w:val="0000FF"/>
            <w:spacing w:val="0"/>
            <w:position w:val="0"/>
            <w:sz w:val="24"/>
            <w:u w:val="single"/>
            <w:shd w:fill="auto" w:val="clear"/>
          </w:rPr>
          <w:t xml:space="preserve">http://doi.org/10.1159/000313336</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Mannelli, P., Patkar, A. A., Peindl, K., Gottheil, E., Wu, L. T., &amp; Gorelick, D. A. (2009). Early outcomes following low dose naltrexone enhancement of opioid detoxification. </w:t>
      </w:r>
      <w:r>
        <w:rPr>
          <w:rFonts w:ascii="Times New Roman" w:hAnsi="Times New Roman" w:cs="Times New Roman" w:eastAsia="Times New Roman"/>
          <w:i/>
          <w:color w:val="auto"/>
          <w:spacing w:val="0"/>
          <w:position w:val="0"/>
          <w:sz w:val="24"/>
          <w:shd w:fill="auto" w:val="clear"/>
        </w:rPr>
        <w:t xml:space="preserve">American Journal on Addictions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18</w:t>
      </w:r>
      <w:r>
        <w:rPr>
          <w:rFonts w:ascii="Times New Roman" w:hAnsi="Times New Roman" w:cs="Times New Roman" w:eastAsia="Times New Roman"/>
          <w:color w:val="auto"/>
          <w:spacing w:val="0"/>
          <w:position w:val="0"/>
          <w:sz w:val="24"/>
          <w:shd w:fill="auto" w:val="clear"/>
        </w:rPr>
        <w:t xml:space="preserve">(2), 109</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116. </w:t>
      </w:r>
      <w:hyperlink xmlns:r="http://schemas.openxmlformats.org/officeDocument/2006/relationships" r:id="docRId12">
        <w:r>
          <w:rPr>
            <w:rFonts w:ascii="Times New Roman" w:hAnsi="Times New Roman" w:cs="Times New Roman" w:eastAsia="Times New Roman"/>
            <w:color w:val="0000FF"/>
            <w:spacing w:val="0"/>
            <w:position w:val="0"/>
            <w:sz w:val="24"/>
            <w:u w:val="single"/>
            <w:shd w:fill="auto" w:val="clear"/>
          </w:rPr>
          <w:t xml:space="preserve">http://doi.org/10.1080/10550490902772785</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Minozzi, S., Amato, L., Vecchi, S., Davoli, M., Kirchmayer, U., &amp; Verster, A. (2011). Oral naltrexone maintenance treatment for opioid dependence. </w:t>
      </w:r>
      <w:r>
        <w:rPr>
          <w:rFonts w:ascii="Times New Roman" w:hAnsi="Times New Roman" w:cs="Times New Roman" w:eastAsia="Times New Roman"/>
          <w:i/>
          <w:color w:val="auto"/>
          <w:spacing w:val="0"/>
          <w:position w:val="0"/>
          <w:sz w:val="24"/>
          <w:shd w:fill="auto" w:val="clear"/>
        </w:rPr>
        <w:t xml:space="preserve">Cochrane Database of Systematic Reviews</w:t>
      </w:r>
      <w:r>
        <w:rPr>
          <w:rFonts w:ascii="Times New Roman" w:hAnsi="Times New Roman" w:cs="Times New Roman" w:eastAsia="Times New Roman"/>
          <w:color w:val="auto"/>
          <w:spacing w:val="0"/>
          <w:position w:val="0"/>
          <w:sz w:val="24"/>
          <w:shd w:fill="auto" w:val="clear"/>
        </w:rPr>
        <w:t xml:space="preserve">, (4). </w:t>
      </w:r>
      <w:hyperlink xmlns:r="http://schemas.openxmlformats.org/officeDocument/2006/relationships" r:id="docRId13">
        <w:r>
          <w:rPr>
            <w:rFonts w:ascii="Times New Roman" w:hAnsi="Times New Roman" w:cs="Times New Roman" w:eastAsia="Times New Roman"/>
            <w:color w:val="0000FF"/>
            <w:spacing w:val="0"/>
            <w:position w:val="0"/>
            <w:sz w:val="24"/>
            <w:u w:val="single"/>
            <w:shd w:fill="auto" w:val="clear"/>
          </w:rPr>
          <w:t xml:space="preserve">http://doi.org/10.1002/14651858.CD001333.pub4</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Ngo, H. T. T., Tait, R. J., &amp; Hulse, G. K. (2008). Comparing drug-related hospital morbidity following heroin dependence treatment with methadone maintenance or naltrexone implantation. </w:t>
      </w:r>
      <w:r>
        <w:rPr>
          <w:rFonts w:ascii="Times New Roman" w:hAnsi="Times New Roman" w:cs="Times New Roman" w:eastAsia="Times New Roman"/>
          <w:i/>
          <w:color w:val="auto"/>
          <w:spacing w:val="0"/>
          <w:position w:val="0"/>
          <w:sz w:val="24"/>
          <w:shd w:fill="auto" w:val="clear"/>
        </w:rPr>
        <w:t xml:space="preserve">Archives of General Psychiatry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65</w:t>
      </w:r>
      <w:r>
        <w:rPr>
          <w:rFonts w:ascii="Times New Roman" w:hAnsi="Times New Roman" w:cs="Times New Roman" w:eastAsia="Times New Roman"/>
          <w:color w:val="auto"/>
          <w:spacing w:val="0"/>
          <w:position w:val="0"/>
          <w:sz w:val="24"/>
          <w:shd w:fill="auto" w:val="clear"/>
        </w:rPr>
        <w:t xml:space="preserve">(4), 457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465. </w:t>
      </w:r>
      <w:hyperlink xmlns:r="http://schemas.openxmlformats.org/officeDocument/2006/relationships" r:id="docRId14">
        <w:r>
          <w:rPr>
            <w:rFonts w:ascii="Times New Roman" w:hAnsi="Times New Roman" w:cs="Times New Roman" w:eastAsia="Times New Roman"/>
            <w:color w:val="0000FF"/>
            <w:spacing w:val="0"/>
            <w:position w:val="0"/>
            <w:sz w:val="24"/>
            <w:u w:val="single"/>
            <w:shd w:fill="auto" w:val="clear"/>
          </w:rPr>
          <w:t xml:space="preserve">http://doi.org/10.1001/archpsyc.65.4.457</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Sajid, A., Whiteman, A., Bell, R. L., Greene, M. S., Engleman, E. A., &amp; Chambers, R. A. (2016). Prescription drug monitoring program data tracking of opioid addiction treatment outcomes in integrated dual diagnosis care involving injectable naltrexone. </w:t>
      </w:r>
      <w:r>
        <w:rPr>
          <w:rFonts w:ascii="Times New Roman" w:hAnsi="Times New Roman" w:cs="Times New Roman" w:eastAsia="Times New Roman"/>
          <w:i/>
          <w:color w:val="auto"/>
          <w:spacing w:val="0"/>
          <w:position w:val="0"/>
          <w:sz w:val="24"/>
          <w:shd w:fill="auto" w:val="clear"/>
        </w:rPr>
        <w:t xml:space="preserve">American Journal on Addictions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25</w:t>
      </w:r>
      <w:r>
        <w:rPr>
          <w:rFonts w:ascii="Times New Roman" w:hAnsi="Times New Roman" w:cs="Times New Roman" w:eastAsia="Times New Roman"/>
          <w:color w:val="auto"/>
          <w:spacing w:val="0"/>
          <w:position w:val="0"/>
          <w:sz w:val="24"/>
          <w:shd w:fill="auto" w:val="clear"/>
        </w:rPr>
        <w:t xml:space="preserve">(7), 557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564. </w:t>
      </w:r>
      <w:hyperlink xmlns:r="http://schemas.openxmlformats.org/officeDocument/2006/relationships" r:id="docRId15">
        <w:r>
          <w:rPr>
            <w:rFonts w:ascii="Times New Roman" w:hAnsi="Times New Roman" w:cs="Times New Roman" w:eastAsia="Times New Roman"/>
            <w:color w:val="0000FF"/>
            <w:spacing w:val="0"/>
            <w:position w:val="0"/>
            <w:sz w:val="24"/>
            <w:u w:val="single"/>
            <w:shd w:fill="auto" w:val="clear"/>
          </w:rPr>
          <w:t xml:space="preserve">http://doi.org/10.1111/ajad.12441</w:t>
        </w:r>
      </w:hyperlink>
    </w:p>
    <w:p>
      <w:pPr>
        <w:spacing w:before="0" w:after="0" w:line="480"/>
        <w:ind w:right="0" w:left="480" w:hanging="4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Saunders, E. C., McGovern, M. P., Lambert-Harris, C., Meier, A., McLeman, B., &amp; Xie, H. (2015). The impact of addiction medications on treatment outcomes for persons with co-occurring PTSD and opioid use disorders. </w:t>
      </w:r>
      <w:r>
        <w:rPr>
          <w:rFonts w:ascii="Times New Roman" w:hAnsi="Times New Roman" w:cs="Times New Roman" w:eastAsia="Times New Roman"/>
          <w:i/>
          <w:color w:val="auto"/>
          <w:spacing w:val="0"/>
          <w:position w:val="0"/>
          <w:sz w:val="24"/>
          <w:shd w:fill="auto" w:val="clear"/>
        </w:rPr>
        <w:t xml:space="preserve">American Journal on Addictions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24</w:t>
      </w:r>
      <w:r>
        <w:rPr>
          <w:rFonts w:ascii="Times New Roman" w:hAnsi="Times New Roman" w:cs="Times New Roman" w:eastAsia="Times New Roman"/>
          <w:color w:val="auto"/>
          <w:spacing w:val="0"/>
          <w:position w:val="0"/>
          <w:sz w:val="24"/>
          <w:shd w:fill="auto" w:val="clear"/>
        </w:rPr>
        <w:t xml:space="preserve">(8), 722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731. </w:t>
      </w:r>
      <w:hyperlink xmlns:r="http://schemas.openxmlformats.org/officeDocument/2006/relationships" r:id="docRId16">
        <w:r>
          <w:rPr>
            <w:rFonts w:ascii="Times New Roman" w:hAnsi="Times New Roman" w:cs="Times New Roman" w:eastAsia="Times New Roman"/>
            <w:color w:val="0000FF"/>
            <w:spacing w:val="0"/>
            <w:position w:val="0"/>
            <w:sz w:val="24"/>
            <w:u w:val="single"/>
            <w:shd w:fill="auto" w:val="clear"/>
          </w:rPr>
          <w:t xml:space="preserve">http://doi.org/10.1111/ajad.12292</w:t>
        </w:r>
      </w:hyperlink>
    </w:p>
    <w:p>
      <w:pPr>
        <w:spacing w:before="0" w:after="0" w:line="480"/>
        <w:ind w:right="0" w:left="480" w:hanging="48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World Health Organization. (2014, November). Information sheet on opioid overdose. Retrieved from </w:t>
      </w:r>
      <w:hyperlink xmlns:r="http://schemas.openxmlformats.org/officeDocument/2006/relationships" r:id="docRId17">
        <w:r>
          <w:rPr>
            <w:rFonts w:ascii="Times New Roman" w:hAnsi="Times New Roman" w:cs="Times New Roman" w:eastAsia="Times New Roman"/>
            <w:color w:val="000000"/>
            <w:spacing w:val="0"/>
            <w:position w:val="0"/>
            <w:sz w:val="24"/>
            <w:u w:val="single"/>
            <w:shd w:fill="FFFFFF" w:val="clear"/>
          </w:rPr>
          <w:t xml:space="preserve">http://www.who.int/substance_abuse/information-sheet/en/</w:t>
        </w:r>
      </w:hyperlink>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8">
    <w:abstractNumId w:val="6"/>
  </w:num>
  <w:num w:numId="1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who.int/substance_abuse/information-sheet/en/" Id="docRId17" Type="http://schemas.openxmlformats.org/officeDocument/2006/relationships/hyperlink" /><Relationship TargetMode="External" Target="http://doi.org/10.1111/bcp.12011" Id="docRId7" Type="http://schemas.openxmlformats.org/officeDocument/2006/relationships/hyperlink" /><Relationship TargetMode="External" Target="http://doi.org/10.1111/ajad.12182" Id="docRId10" Type="http://schemas.openxmlformats.org/officeDocument/2006/relationships/hyperlink" /><Relationship TargetMode="External" Target="http://doi.org/10.1001/archpsyc.65.4.457" Id="docRId14" Type="http://schemas.openxmlformats.org/officeDocument/2006/relationships/hyperlink" /><Relationship Target="numbering.xml" Id="docRId18" Type="http://schemas.openxmlformats.org/officeDocument/2006/relationships/numbering" /><Relationship TargetMode="External" Target="http://doi.org/10.1016/j.jsat.2015.12.004" Id="docRId2" Type="http://schemas.openxmlformats.org/officeDocument/2006/relationships/hyperlink" /><Relationship TargetMode="External" Target="http://doi.org/10.1111/add.12208" Id="docRId6" Type="http://schemas.openxmlformats.org/officeDocument/2006/relationships/hyperlink" /><Relationship TargetMode="External" Target="http://doi.org/10.4137/SART.S10776" Id="docRId1" Type="http://schemas.openxmlformats.org/officeDocument/2006/relationships/hyperlink" /><Relationship TargetMode="External" Target="http://doi.org/10.1159/000313336" Id="docRId11" Type="http://schemas.openxmlformats.org/officeDocument/2006/relationships/hyperlink" /><Relationship TargetMode="External" Target="http://doi.org/10.1111/ajad.12441" Id="docRId15" Type="http://schemas.openxmlformats.org/officeDocument/2006/relationships/hyperlink" /><Relationship Target="styles.xml" Id="docRId19" Type="http://schemas.openxmlformats.org/officeDocument/2006/relationships/styles" /><Relationship TargetMode="External" Target="http://doi.org/10.1016/S0140-6736(11)60358-9" Id="docRId5" Type="http://schemas.openxmlformats.org/officeDocument/2006/relationships/hyperlink" /><Relationship TargetMode="External" Target="http://doi.org/10.1111/add.12894" Id="docRId9" Type="http://schemas.openxmlformats.org/officeDocument/2006/relationships/hyperlink" /><Relationship TargetMode="External" Target="https://www.asam.org/docs/default-source/advocacy/opioid-addiction-disease-facts-figures.pdf" Id="docRId0" Type="http://schemas.openxmlformats.org/officeDocument/2006/relationships/hyperlink" /><Relationship TargetMode="External" Target="http://doi.org/10.1080/10550490902772785" Id="docRId12" Type="http://schemas.openxmlformats.org/officeDocument/2006/relationships/hyperlink" /><Relationship TargetMode="External" Target="http://doi.org/10.1111/ajad.12292" Id="docRId16" Type="http://schemas.openxmlformats.org/officeDocument/2006/relationships/hyperlink" /><Relationship TargetMode="External" Target="http://doi.org/10.1111/j.1360-0443.2012.03910.x" Id="docRId4" Type="http://schemas.openxmlformats.org/officeDocument/2006/relationships/hyperlink" /><Relationship TargetMode="External" Target="http://doi.org/10.1111/dar.12095" Id="docRId8" Type="http://schemas.openxmlformats.org/officeDocument/2006/relationships/hyperlink" /><Relationship TargetMode="External" Target="http://doi.org/10.1002/14651858.CD001333.pub4" Id="docRId13" Type="http://schemas.openxmlformats.org/officeDocument/2006/relationships/hyperlink" /><Relationship TargetMode="External" Target="http://doi.org/10.1080/08897077.2011.609438" Id="docRId3" Type="http://schemas.openxmlformats.org/officeDocument/2006/relationships/hyperlink" /></Relationships>
</file>